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AAF0" w14:textId="77777777" w:rsidR="00704BCB" w:rsidRDefault="00704BCB" w:rsidP="008B364B">
      <w:pPr>
        <w:jc w:val="center"/>
      </w:pPr>
    </w:p>
    <w:p w14:paraId="36989CC5" w14:textId="77777777" w:rsidR="00704BCB" w:rsidRPr="0017569C" w:rsidRDefault="000D7A6D" w:rsidP="00704BCB">
      <w:pPr>
        <w:jc w:val="center"/>
        <w:rPr>
          <w:rFonts w:ascii="Lucida Bright" w:hAnsi="Lucida Bright"/>
          <w:sz w:val="48"/>
          <w:szCs w:val="48"/>
        </w:rPr>
      </w:pPr>
      <w:r w:rsidRPr="0017569C">
        <w:rPr>
          <w:rFonts w:ascii="Lucida Bright" w:hAnsi="Lucida Bright"/>
          <w:sz w:val="48"/>
          <w:szCs w:val="48"/>
        </w:rPr>
        <w:t>NOMBRE DEL CURSO</w:t>
      </w:r>
    </w:p>
    <w:p w14:paraId="17C2F468" w14:textId="77777777" w:rsidR="000358FA" w:rsidRPr="000D7A6D" w:rsidRDefault="000D7A6D" w:rsidP="000D7A6D">
      <w:pPr>
        <w:pStyle w:val="Sinespaciado"/>
        <w:jc w:val="center"/>
        <w:rPr>
          <w:b/>
          <w:color w:val="000000" w:themeColor="text1"/>
          <w:sz w:val="28"/>
          <w:szCs w:val="28"/>
        </w:rPr>
      </w:pPr>
      <w:r>
        <w:rPr>
          <w:b/>
          <w:color w:val="000000" w:themeColor="text1"/>
          <w:sz w:val="28"/>
          <w:szCs w:val="28"/>
        </w:rPr>
        <w:t>CODIGO DEL CURSO</w:t>
      </w:r>
    </w:p>
    <w:p w14:paraId="2D26EE28" w14:textId="77777777" w:rsidR="000D7A6D" w:rsidRDefault="002357D5" w:rsidP="00704BCB">
      <w:pPr>
        <w:pStyle w:val="Sinespaciado"/>
        <w:jc w:val="center"/>
        <w:rPr>
          <w:noProof/>
          <w:lang w:val="en-US" w:eastAsia="en-US"/>
        </w:rPr>
      </w:pPr>
      <w:r>
        <w:rPr>
          <w:noProof/>
          <w:lang w:val="en-US" w:eastAsia="en-US"/>
        </w:rPr>
        <w:drawing>
          <wp:inline distT="0" distB="0" distL="0" distR="0" wp14:anchorId="39884BEF" wp14:editId="3CD5E47E">
            <wp:extent cx="4159250" cy="982980"/>
            <wp:effectExtent l="0" t="0" r="0" b="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0" cy="982980"/>
                    </a:xfrm>
                    <a:prstGeom prst="rect">
                      <a:avLst/>
                    </a:prstGeom>
                    <a:noFill/>
                    <a:ln>
                      <a:noFill/>
                    </a:ln>
                  </pic:spPr>
                </pic:pic>
              </a:graphicData>
            </a:graphic>
          </wp:inline>
        </w:drawing>
      </w:r>
    </w:p>
    <w:p w14:paraId="498B4D19" w14:textId="77777777" w:rsidR="005A2E84" w:rsidRDefault="005A2E84" w:rsidP="00704BCB">
      <w:pPr>
        <w:pStyle w:val="Sinespaciado"/>
        <w:jc w:val="center"/>
        <w:rPr>
          <w:b/>
          <w:color w:val="000000" w:themeColor="text1"/>
          <w:sz w:val="28"/>
          <w:szCs w:val="28"/>
        </w:rPr>
      </w:pPr>
    </w:p>
    <w:tbl>
      <w:tblPr>
        <w:tblStyle w:val="Tablaconcuadrcula"/>
        <w:tblW w:w="0" w:type="auto"/>
        <w:tblLook w:val="04A0" w:firstRow="1" w:lastRow="0" w:firstColumn="1" w:lastColumn="0" w:noHBand="0" w:noVBand="1"/>
      </w:tblPr>
      <w:tblGrid>
        <w:gridCol w:w="2952"/>
        <w:gridCol w:w="5055"/>
        <w:gridCol w:w="2785"/>
      </w:tblGrid>
      <w:tr w:rsidR="0017569C" w14:paraId="181F3483" w14:textId="77777777" w:rsidTr="005A2E84">
        <w:tc>
          <w:tcPr>
            <w:tcW w:w="2988" w:type="dxa"/>
          </w:tcPr>
          <w:p w14:paraId="00198663" w14:textId="77777777" w:rsidR="005A2E84" w:rsidRDefault="005A2E84" w:rsidP="00704BCB">
            <w:pPr>
              <w:pStyle w:val="Sinespaciado"/>
              <w:jc w:val="center"/>
              <w:rPr>
                <w:b/>
                <w:color w:val="000000" w:themeColor="text1"/>
                <w:sz w:val="28"/>
                <w:szCs w:val="28"/>
              </w:rPr>
            </w:pPr>
            <w:r>
              <w:rPr>
                <w:b/>
                <w:color w:val="000000" w:themeColor="text1"/>
                <w:sz w:val="28"/>
                <w:szCs w:val="28"/>
              </w:rPr>
              <w:t>Universidad de San Carlos de Guatemala</w:t>
            </w:r>
          </w:p>
          <w:p w14:paraId="6E453052" w14:textId="77777777" w:rsidR="0017569C" w:rsidRDefault="0017569C" w:rsidP="00704BCB">
            <w:pPr>
              <w:pStyle w:val="Sinespaciado"/>
              <w:jc w:val="center"/>
              <w:rPr>
                <w:b/>
                <w:color w:val="000000" w:themeColor="text1"/>
                <w:sz w:val="28"/>
                <w:szCs w:val="28"/>
              </w:rPr>
            </w:pPr>
            <w:r>
              <w:rPr>
                <w:noProof/>
                <w:lang w:val="en-US" w:eastAsia="en-US"/>
              </w:rPr>
              <w:drawing>
                <wp:inline distT="0" distB="0" distL="0" distR="0" wp14:anchorId="74AB995A" wp14:editId="7626FAE4">
                  <wp:extent cx="1116280" cy="1154518"/>
                  <wp:effectExtent l="57150" t="57150" r="65405" b="64770"/>
                  <wp:docPr id="1" name="Imagen 1" descr="usacfondo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cfondoblanc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1134" cy="1159538"/>
                          </a:xfrm>
                          <a:prstGeom prst="roundRect">
                            <a:avLst>
                              <a:gd name="adj" fmla="val 4167"/>
                            </a:avLst>
                          </a:prstGeom>
                          <a:solidFill>
                            <a:srgbClr val="FFFFFF"/>
                          </a:solidFill>
                          <a:ln w="25400" cap="sq" cmpd="sng">
                            <a:solidFill>
                              <a:schemeClr val="tx1"/>
                            </a:solidFill>
                            <a:round/>
                          </a:ln>
                          <a:effectLst/>
                          <a:scene3d>
                            <a:camera prst="orthographicFront"/>
                            <a:lightRig rig="threePt" dir="t">
                              <a:rot lat="0" lon="0" rev="2700000"/>
                            </a:lightRig>
                          </a:scene3d>
                          <a:sp3d contourW="6350">
                            <a:contourClr>
                              <a:srgbClr val="C0C0C0"/>
                            </a:contourClr>
                          </a:sp3d>
                        </pic:spPr>
                      </pic:pic>
                    </a:graphicData>
                  </a:graphic>
                </wp:inline>
              </w:drawing>
            </w:r>
          </w:p>
        </w:tc>
        <w:tc>
          <w:tcPr>
            <w:tcW w:w="5220" w:type="dxa"/>
          </w:tcPr>
          <w:p w14:paraId="2A4943B2" w14:textId="77777777" w:rsidR="005A2E84" w:rsidRDefault="005A2E84" w:rsidP="00110B16">
            <w:pPr>
              <w:pStyle w:val="Sinespaciado"/>
              <w:rPr>
                <w:color w:val="000000" w:themeColor="text1"/>
                <w:sz w:val="28"/>
                <w:szCs w:val="28"/>
              </w:rPr>
            </w:pPr>
          </w:p>
          <w:p w14:paraId="1D6DAEC3" w14:textId="51D90423" w:rsidR="0017569C" w:rsidRDefault="007E301C" w:rsidP="007E301C">
            <w:pPr>
              <w:pStyle w:val="Sinespaciado"/>
              <w:jc w:val="center"/>
              <w:rPr>
                <w:color w:val="000000" w:themeColor="text1"/>
                <w:sz w:val="28"/>
                <w:szCs w:val="28"/>
              </w:rPr>
            </w:pPr>
            <w:r>
              <w:rPr>
                <w:color w:val="000000" w:themeColor="text1"/>
                <w:sz w:val="28"/>
                <w:szCs w:val="28"/>
              </w:rPr>
              <w:t>MAESTR</w:t>
            </w:r>
            <w:r w:rsidR="00110B16">
              <w:rPr>
                <w:color w:val="000000" w:themeColor="text1"/>
                <w:sz w:val="28"/>
                <w:szCs w:val="28"/>
              </w:rPr>
              <w:t>Í</w:t>
            </w:r>
            <w:r>
              <w:rPr>
                <w:color w:val="000000" w:themeColor="text1"/>
                <w:sz w:val="28"/>
                <w:szCs w:val="28"/>
              </w:rPr>
              <w:t>A EN DERECHO CIVIL Y PROCESAL CIVIL</w:t>
            </w:r>
            <w:r w:rsidR="00110B16">
              <w:rPr>
                <w:color w:val="000000" w:themeColor="text1"/>
                <w:sz w:val="28"/>
                <w:szCs w:val="28"/>
              </w:rPr>
              <w:t xml:space="preserve"> </w:t>
            </w:r>
          </w:p>
          <w:p w14:paraId="14CFEFEF" w14:textId="77777777" w:rsidR="00110B16" w:rsidRDefault="00110B16" w:rsidP="007E301C">
            <w:pPr>
              <w:pStyle w:val="Sinespaciado"/>
              <w:jc w:val="center"/>
              <w:rPr>
                <w:color w:val="000000" w:themeColor="text1"/>
                <w:sz w:val="28"/>
                <w:szCs w:val="28"/>
              </w:rPr>
            </w:pPr>
          </w:p>
          <w:p w14:paraId="26E1119A" w14:textId="055713E4" w:rsidR="00110B16" w:rsidRPr="007E301C" w:rsidRDefault="00110B16" w:rsidP="007E301C">
            <w:pPr>
              <w:pStyle w:val="Sinespaciado"/>
              <w:jc w:val="center"/>
              <w:rPr>
                <w:b/>
                <w:color w:val="000000" w:themeColor="text1"/>
                <w:sz w:val="28"/>
                <w:szCs w:val="28"/>
              </w:rPr>
            </w:pPr>
            <w:r>
              <w:rPr>
                <w:b/>
                <w:color w:val="000000" w:themeColor="text1"/>
                <w:sz w:val="28"/>
                <w:szCs w:val="28"/>
              </w:rPr>
              <w:t>TERCER SEMESTRE</w:t>
            </w:r>
          </w:p>
          <w:p w14:paraId="13D62F82" w14:textId="77777777" w:rsidR="005A2E84" w:rsidRDefault="005A2E84" w:rsidP="0017569C">
            <w:pPr>
              <w:pStyle w:val="Sinespaciado"/>
              <w:jc w:val="center"/>
              <w:rPr>
                <w:b/>
                <w:color w:val="000000" w:themeColor="text1"/>
                <w:sz w:val="28"/>
                <w:szCs w:val="28"/>
              </w:rPr>
            </w:pPr>
          </w:p>
          <w:p w14:paraId="1AE93857" w14:textId="0AA8D1E3" w:rsidR="0017569C" w:rsidRPr="00110B16" w:rsidRDefault="0017569C" w:rsidP="0017569C">
            <w:pPr>
              <w:pStyle w:val="Sinespaciado"/>
              <w:jc w:val="center"/>
              <w:rPr>
                <w:color w:val="000000" w:themeColor="text1"/>
                <w:sz w:val="24"/>
                <w:szCs w:val="24"/>
              </w:rPr>
            </w:pPr>
            <w:r w:rsidRPr="00110B16">
              <w:rPr>
                <w:color w:val="000000" w:themeColor="text1"/>
                <w:sz w:val="24"/>
                <w:szCs w:val="24"/>
              </w:rPr>
              <w:t>DOCENTE</w:t>
            </w:r>
            <w:r w:rsidR="00110B16">
              <w:rPr>
                <w:color w:val="000000" w:themeColor="text1"/>
                <w:sz w:val="24"/>
                <w:szCs w:val="24"/>
              </w:rPr>
              <w:t>:</w:t>
            </w:r>
          </w:p>
          <w:p w14:paraId="16F0F917" w14:textId="114EB062" w:rsidR="00110B16" w:rsidRDefault="00110B16" w:rsidP="0017569C">
            <w:pPr>
              <w:pStyle w:val="Sinespaciado"/>
              <w:jc w:val="center"/>
            </w:pPr>
            <w:r>
              <w:t>MAGNOLIA FABIOLA OR</w:t>
            </w:r>
            <w:r w:rsidR="006829BF">
              <w:t>Ó</w:t>
            </w:r>
            <w:r>
              <w:t>ZCO MIRANDA</w:t>
            </w:r>
          </w:p>
          <w:p w14:paraId="0023183B" w14:textId="77777777" w:rsidR="0017569C" w:rsidRDefault="0017569C" w:rsidP="00704BCB">
            <w:pPr>
              <w:pStyle w:val="Sinespaciado"/>
              <w:jc w:val="center"/>
              <w:rPr>
                <w:b/>
                <w:color w:val="000000" w:themeColor="text1"/>
                <w:sz w:val="28"/>
                <w:szCs w:val="28"/>
              </w:rPr>
            </w:pPr>
          </w:p>
        </w:tc>
        <w:tc>
          <w:tcPr>
            <w:tcW w:w="2810" w:type="dxa"/>
          </w:tcPr>
          <w:p w14:paraId="5D6552DE" w14:textId="77777777" w:rsidR="005A2E84" w:rsidRDefault="005A2E84" w:rsidP="00704BCB">
            <w:pPr>
              <w:pStyle w:val="Sinespaciado"/>
              <w:jc w:val="center"/>
              <w:rPr>
                <w:b/>
                <w:color w:val="000000" w:themeColor="text1"/>
                <w:sz w:val="28"/>
                <w:szCs w:val="28"/>
              </w:rPr>
            </w:pPr>
            <w:r>
              <w:rPr>
                <w:b/>
                <w:color w:val="000000" w:themeColor="text1"/>
                <w:sz w:val="28"/>
                <w:szCs w:val="28"/>
              </w:rPr>
              <w:t xml:space="preserve">Facultad de Ciencias </w:t>
            </w:r>
          </w:p>
          <w:p w14:paraId="1328FAC6" w14:textId="77777777" w:rsidR="005A2E84" w:rsidRDefault="005A2E84" w:rsidP="00704BCB">
            <w:pPr>
              <w:pStyle w:val="Sinespaciado"/>
              <w:jc w:val="center"/>
              <w:rPr>
                <w:b/>
                <w:color w:val="000000" w:themeColor="text1"/>
                <w:sz w:val="28"/>
                <w:szCs w:val="28"/>
              </w:rPr>
            </w:pPr>
            <w:r>
              <w:rPr>
                <w:b/>
                <w:color w:val="000000" w:themeColor="text1"/>
                <w:sz w:val="28"/>
                <w:szCs w:val="28"/>
              </w:rPr>
              <w:t>Jurídicas y Sociales</w:t>
            </w:r>
          </w:p>
          <w:p w14:paraId="262943EA" w14:textId="77777777" w:rsidR="0017569C" w:rsidRDefault="0017569C" w:rsidP="00704BCB">
            <w:pPr>
              <w:pStyle w:val="Sinespaciado"/>
              <w:jc w:val="center"/>
              <w:rPr>
                <w:b/>
                <w:color w:val="000000" w:themeColor="text1"/>
                <w:sz w:val="28"/>
                <w:szCs w:val="28"/>
              </w:rPr>
            </w:pPr>
            <w:r>
              <w:rPr>
                <w:noProof/>
                <w:lang w:val="en-US" w:eastAsia="en-US"/>
              </w:rPr>
              <w:drawing>
                <wp:inline distT="0" distB="0" distL="0" distR="0" wp14:anchorId="5073FDEE" wp14:editId="0CE16C1B">
                  <wp:extent cx="1151907" cy="1190235"/>
                  <wp:effectExtent l="57150" t="57150" r="67310" b="67310"/>
                  <wp:docPr id="2" name="Imagen 2" descr="logo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acultad"/>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1827" cy="1190153"/>
                          </a:xfrm>
                          <a:prstGeom prst="roundRect">
                            <a:avLst>
                              <a:gd name="adj" fmla="val 4167"/>
                            </a:avLst>
                          </a:prstGeom>
                          <a:solidFill>
                            <a:srgbClr val="FFFFFF"/>
                          </a:solidFill>
                          <a:ln w="25400" cap="sq" cmpd="sng">
                            <a:solidFill>
                              <a:schemeClr val="tx1"/>
                            </a:solidFill>
                            <a:round/>
                          </a:ln>
                          <a:effectLst/>
                          <a:scene3d>
                            <a:camera prst="orthographicFront"/>
                            <a:lightRig rig="threePt" dir="t">
                              <a:rot lat="0" lon="0" rev="2700000"/>
                            </a:lightRig>
                          </a:scene3d>
                          <a:sp3d contourW="6350">
                            <a:contourClr>
                              <a:srgbClr val="C0C0C0"/>
                            </a:contourClr>
                          </a:sp3d>
                        </pic:spPr>
                      </pic:pic>
                    </a:graphicData>
                  </a:graphic>
                </wp:inline>
              </w:drawing>
            </w:r>
          </w:p>
        </w:tc>
      </w:tr>
    </w:tbl>
    <w:p w14:paraId="002E4A87" w14:textId="77777777" w:rsidR="0017569C" w:rsidRDefault="0017569C" w:rsidP="00704BCB">
      <w:pPr>
        <w:pStyle w:val="Sinespaciado"/>
        <w:jc w:val="center"/>
        <w:rPr>
          <w:b/>
          <w:color w:val="000000" w:themeColor="text1"/>
          <w:sz w:val="28"/>
          <w:szCs w:val="28"/>
        </w:rPr>
      </w:pPr>
    </w:p>
    <w:p w14:paraId="0AEDD4B8" w14:textId="77777777" w:rsidR="00020CEC" w:rsidRDefault="00020CEC" w:rsidP="00CE3753"/>
    <w:p w14:paraId="610648BF" w14:textId="77777777" w:rsidR="000358FA" w:rsidRPr="00792BED" w:rsidRDefault="000358FA" w:rsidP="000358FA">
      <w:pPr>
        <w:pBdr>
          <w:bottom w:val="single" w:sz="4" w:space="1" w:color="auto"/>
        </w:pBdr>
        <w:jc w:val="center"/>
        <w:rPr>
          <w:b/>
          <w:lang w:val="es-ES"/>
        </w:rPr>
      </w:pPr>
      <w:r w:rsidRPr="00792BED">
        <w:rPr>
          <w:b/>
          <w:lang w:val="es-ES"/>
        </w:rPr>
        <w:t>PROGRAMA DE ESTUDIOS</w:t>
      </w:r>
    </w:p>
    <w:p w14:paraId="4921AE8E" w14:textId="77777777" w:rsidR="000358FA" w:rsidRDefault="000358FA" w:rsidP="000358FA">
      <w:pPr>
        <w:jc w:val="both"/>
        <w:rPr>
          <w:b/>
          <w:lang w:val="es-ES"/>
        </w:rPr>
      </w:pPr>
    </w:p>
    <w:p w14:paraId="2C324CB6" w14:textId="77777777" w:rsidR="00CA355E" w:rsidRDefault="00CA355E" w:rsidP="00CE3753">
      <w:pPr>
        <w:sectPr w:rsidR="00CA355E" w:rsidSect="00020CEC">
          <w:pgSz w:w="12242" w:h="18711" w:code="5"/>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9"/>
          <w:docGrid w:linePitch="360"/>
        </w:sectPr>
      </w:pPr>
    </w:p>
    <w:p w14:paraId="20B5B4C4" w14:textId="77777777" w:rsidR="00CA355E" w:rsidRPr="00792BED" w:rsidRDefault="00CA355E" w:rsidP="00CA355E">
      <w:pPr>
        <w:jc w:val="both"/>
        <w:rPr>
          <w:b/>
          <w:lang w:val="es-ES"/>
        </w:rPr>
      </w:pPr>
      <w:r w:rsidRPr="00792BED">
        <w:rPr>
          <w:b/>
          <w:lang w:val="es-ES"/>
        </w:rPr>
        <w:t>PRESENTACION</w:t>
      </w:r>
    </w:p>
    <w:p w14:paraId="75E48417" w14:textId="3AFAA67A" w:rsidR="00CA355E" w:rsidRDefault="00A873C5" w:rsidP="00CA355E">
      <w:pPr>
        <w:jc w:val="both"/>
        <w:rPr>
          <w:lang w:val="es-ES"/>
        </w:rPr>
      </w:pPr>
      <w:r>
        <w:rPr>
          <w:lang w:val="es-ES"/>
        </w:rPr>
        <w:t>En la teoría de los medios de impugnación encontramos el recurso extraordinario de casación, que se distingue entre otras características, porque no basta el simple interés de las partes para interponerlo, sino que es indispensable la existencia de determinadas causales y motivos para su procedencia, as</w:t>
      </w:r>
      <w:r w:rsidR="007B5A44">
        <w:rPr>
          <w:lang w:val="es-ES"/>
        </w:rPr>
        <w:t>í</w:t>
      </w:r>
      <w:r>
        <w:rPr>
          <w:lang w:val="es-ES"/>
        </w:rPr>
        <w:t xml:space="preserve"> como el estricto cumplimiento de requisitos legales, sin los cuales su planteamiento es nugatorio.</w:t>
      </w:r>
    </w:p>
    <w:p w14:paraId="73357941" w14:textId="1EA5B1BA" w:rsidR="00193D65" w:rsidRDefault="00193D65" w:rsidP="00CA355E">
      <w:pPr>
        <w:jc w:val="both"/>
        <w:rPr>
          <w:lang w:val="es-ES"/>
        </w:rPr>
      </w:pPr>
      <w:r>
        <w:rPr>
          <w:lang w:val="es-ES"/>
        </w:rPr>
        <w:t xml:space="preserve">Es el recurso por medio del cual se impugna la </w:t>
      </w:r>
      <w:r w:rsidR="00B32E6F">
        <w:rPr>
          <w:lang w:val="es-ES"/>
        </w:rPr>
        <w:t xml:space="preserve">sentencia o auto que le ponga fin al proceso en la segunda instancia o en única instancia en algunos casos, como en el proceso contencioso administrativo. En la doctrina se le reconocen dos funciones principales que son: la </w:t>
      </w:r>
      <w:proofErr w:type="spellStart"/>
      <w:r w:rsidR="00B32E6F">
        <w:rPr>
          <w:lang w:val="es-ES"/>
        </w:rPr>
        <w:t>monofiláctica</w:t>
      </w:r>
      <w:proofErr w:type="spellEnd"/>
      <w:r w:rsidR="00B32E6F">
        <w:rPr>
          <w:lang w:val="es-ES"/>
        </w:rPr>
        <w:t>, que consiste en obtener principalmente un fallo protector de la ley y del debido proceso, lo que se conoce como la protección de la norma jurídica; y la unificación de la jurisprudencia, dictando los criterios orientadores de la aplicación e interpretación del derecho.</w:t>
      </w:r>
    </w:p>
    <w:p w14:paraId="559FFA7F" w14:textId="40E5A3D9" w:rsidR="00695CF6" w:rsidRDefault="00695CF6" w:rsidP="00CA355E">
      <w:pPr>
        <w:jc w:val="both"/>
        <w:rPr>
          <w:lang w:val="es-ES"/>
        </w:rPr>
      </w:pPr>
      <w:r>
        <w:rPr>
          <w:lang w:val="es-ES"/>
        </w:rPr>
        <w:t xml:space="preserve">Como recurso extraordinario es considerado eminentemente formalista y técnico, </w:t>
      </w:r>
      <w:r w:rsidR="00A468B6">
        <w:rPr>
          <w:lang w:val="es-ES"/>
        </w:rPr>
        <w:t>por lo que, en atención a sus exigencias, es indispensable para los profesionales profundizar en el estudio de este instituto procesal, ya que un gran número de recursos de casación interpuestos son rechazados por incumplimiento de formalidades y la mayoría de los que son admitidos a tramite, son desestimados por deficiencias técnicas en su planteamiento de fondo. De esa cuenta, es de vital importancia el estudio, análisis y cualquier investigación jurídica en torno a la casación.</w:t>
      </w:r>
    </w:p>
    <w:p w14:paraId="44CB92C0" w14:textId="10D67D06" w:rsidR="00A468B6" w:rsidRDefault="00A468B6" w:rsidP="00CA355E">
      <w:pPr>
        <w:jc w:val="both"/>
        <w:rPr>
          <w:lang w:val="es-ES"/>
        </w:rPr>
      </w:pPr>
      <w:r>
        <w:rPr>
          <w:lang w:val="es-ES"/>
        </w:rPr>
        <w:t>Tratándose de un curso que se desarrolla a nivel de enseñanza superior, la asistencia a clases y la participación activa del maestrando, en el análisis y discusión de temas es determinante con el recurso extraordinario de casación.</w:t>
      </w:r>
    </w:p>
    <w:p w14:paraId="7701B175" w14:textId="77777777" w:rsidR="00A873C5" w:rsidRPr="008227E2" w:rsidRDefault="00A873C5" w:rsidP="00CA355E">
      <w:pPr>
        <w:jc w:val="both"/>
        <w:rPr>
          <w:lang w:val="es-ES"/>
        </w:rPr>
      </w:pPr>
    </w:p>
    <w:p w14:paraId="7FA9C7D1" w14:textId="0F870A4D" w:rsidR="00CA355E" w:rsidRDefault="00CA355E" w:rsidP="00CA355E">
      <w:pPr>
        <w:jc w:val="both"/>
        <w:rPr>
          <w:b/>
        </w:rPr>
      </w:pPr>
      <w:r w:rsidRPr="00792BED">
        <w:rPr>
          <w:b/>
        </w:rPr>
        <w:t>OBJETIVO GENERAL</w:t>
      </w:r>
    </w:p>
    <w:p w14:paraId="1E8E9B03" w14:textId="5FDD8F7D" w:rsidR="00722DE5" w:rsidRPr="00A468B6" w:rsidRDefault="00A468B6" w:rsidP="00CA355E">
      <w:pPr>
        <w:jc w:val="both"/>
        <w:rPr>
          <w:bCs/>
        </w:rPr>
      </w:pPr>
      <w:r>
        <w:rPr>
          <w:bCs/>
        </w:rPr>
        <w:t xml:space="preserve">Dotar a los </w:t>
      </w:r>
      <w:r w:rsidR="00722DE5">
        <w:rPr>
          <w:bCs/>
        </w:rPr>
        <w:t>maestrandos de las competencias y capacidades especìficas y tècnicas para el conocimiento y dominio de todos los aspectos doctrinales, legales y jurisprudenciales relacionados con el recurso extraordinario de casacion.</w:t>
      </w:r>
    </w:p>
    <w:p w14:paraId="2F63A5D2" w14:textId="77777777" w:rsidR="008227E2" w:rsidRPr="00792BED" w:rsidRDefault="008227E2" w:rsidP="00CA355E">
      <w:pPr>
        <w:jc w:val="both"/>
        <w:rPr>
          <w:b/>
        </w:rPr>
      </w:pPr>
    </w:p>
    <w:p w14:paraId="1CDD3DBC" w14:textId="77777777" w:rsidR="00CA355E" w:rsidRPr="00792BED" w:rsidRDefault="00CA355E" w:rsidP="00CA355E">
      <w:pPr>
        <w:jc w:val="both"/>
        <w:rPr>
          <w:b/>
          <w:lang w:val="es-ES"/>
        </w:rPr>
      </w:pPr>
      <w:r>
        <w:rPr>
          <w:b/>
          <w:lang w:val="es-ES"/>
        </w:rPr>
        <w:t>CONTENIDO DEL CURSO</w:t>
      </w:r>
    </w:p>
    <w:p w14:paraId="6E9623F8" w14:textId="3EF39684" w:rsidR="00CA355E" w:rsidRDefault="00722DE5" w:rsidP="005D403E">
      <w:pPr>
        <w:rPr>
          <w:rFonts w:eastAsia="Batang" w:cs="Arial"/>
          <w:sz w:val="20"/>
          <w:szCs w:val="20"/>
        </w:rPr>
        <w:sectPr w:rsidR="00CA355E" w:rsidSect="00CA355E">
          <w:type w:val="continuous"/>
          <w:pgSz w:w="12242" w:h="18711" w:code="5"/>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9"/>
          <w:docGrid w:linePitch="360"/>
        </w:sectPr>
      </w:pPr>
      <w:r>
        <w:rPr>
          <w:rFonts w:eastAsia="Batang" w:cs="Arial"/>
          <w:sz w:val="20"/>
          <w:szCs w:val="20"/>
        </w:rPr>
        <w:t>Se desarrollarán los  temas siguientes:  (indicados en la columna de contenido)</w:t>
      </w:r>
    </w:p>
    <w:p w14:paraId="10EED6A9" w14:textId="77777777" w:rsidR="005D403E" w:rsidRPr="005A2E84" w:rsidRDefault="005D403E" w:rsidP="005A2E84">
      <w:pPr>
        <w:rPr>
          <w:rFonts w:eastAsia="Batang" w:cs="Arial"/>
          <w:sz w:val="20"/>
          <w:szCs w:val="20"/>
        </w:rPr>
        <w:sectPr w:rsidR="005D403E" w:rsidRPr="005A2E84" w:rsidSect="00020CEC">
          <w:type w:val="continuous"/>
          <w:pgSz w:w="12242" w:h="18711" w:code="5"/>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9"/>
          <w:docGrid w:linePitch="360"/>
        </w:sectPr>
      </w:pPr>
    </w:p>
    <w:tbl>
      <w:tblPr>
        <w:tblStyle w:val="Tablaconcuadrcula"/>
        <w:tblpPr w:leftFromText="141" w:rightFromText="141" w:horzAnchor="margin" w:tblpXSpec="center" w:tblpY="-720"/>
        <w:tblW w:w="11016" w:type="dxa"/>
        <w:tblLayout w:type="fixed"/>
        <w:tblLook w:val="04A0" w:firstRow="1" w:lastRow="0" w:firstColumn="1" w:lastColumn="0" w:noHBand="0" w:noVBand="1"/>
      </w:tblPr>
      <w:tblGrid>
        <w:gridCol w:w="2349"/>
        <w:gridCol w:w="2721"/>
        <w:gridCol w:w="2929"/>
        <w:gridCol w:w="1797"/>
        <w:gridCol w:w="1220"/>
      </w:tblGrid>
      <w:tr w:rsidR="005D403E" w14:paraId="099475A5" w14:textId="77777777" w:rsidTr="00783391">
        <w:trPr>
          <w:trHeight w:val="569"/>
        </w:trPr>
        <w:tc>
          <w:tcPr>
            <w:tcW w:w="2349" w:type="dxa"/>
          </w:tcPr>
          <w:p w14:paraId="35ADC4B9" w14:textId="77777777" w:rsidR="005D403E" w:rsidRPr="00924B0F" w:rsidRDefault="005D403E" w:rsidP="00783391">
            <w:pPr>
              <w:tabs>
                <w:tab w:val="left" w:pos="7230"/>
              </w:tabs>
              <w:jc w:val="center"/>
              <w:rPr>
                <w:b/>
                <w:color w:val="000000" w:themeColor="text1"/>
              </w:rPr>
            </w:pPr>
            <w:r w:rsidRPr="00924B0F">
              <w:rPr>
                <w:b/>
                <w:color w:val="000000" w:themeColor="text1"/>
              </w:rPr>
              <w:lastRenderedPageBreak/>
              <w:t>OBJETIVOS ESPECIFICOS</w:t>
            </w:r>
          </w:p>
        </w:tc>
        <w:tc>
          <w:tcPr>
            <w:tcW w:w="2721" w:type="dxa"/>
          </w:tcPr>
          <w:p w14:paraId="6660B0F1" w14:textId="77777777" w:rsidR="005D403E" w:rsidRPr="00924B0F" w:rsidRDefault="005D403E" w:rsidP="00783391">
            <w:pPr>
              <w:tabs>
                <w:tab w:val="left" w:pos="7230"/>
              </w:tabs>
              <w:jc w:val="center"/>
              <w:rPr>
                <w:b/>
                <w:color w:val="000000" w:themeColor="text1"/>
              </w:rPr>
            </w:pPr>
            <w:r w:rsidRPr="00924B0F">
              <w:rPr>
                <w:b/>
                <w:color w:val="000000" w:themeColor="text1"/>
              </w:rPr>
              <w:t>CONTENIDO</w:t>
            </w:r>
          </w:p>
        </w:tc>
        <w:tc>
          <w:tcPr>
            <w:tcW w:w="2929" w:type="dxa"/>
          </w:tcPr>
          <w:p w14:paraId="2670EF2F" w14:textId="77777777" w:rsidR="005D403E" w:rsidRPr="00924B0F" w:rsidRDefault="005D403E" w:rsidP="00783391">
            <w:pPr>
              <w:tabs>
                <w:tab w:val="left" w:pos="7230"/>
              </w:tabs>
              <w:jc w:val="center"/>
              <w:rPr>
                <w:b/>
                <w:color w:val="000000" w:themeColor="text1"/>
              </w:rPr>
            </w:pPr>
            <w:r w:rsidRPr="00924B0F">
              <w:rPr>
                <w:b/>
                <w:color w:val="000000" w:themeColor="text1"/>
              </w:rPr>
              <w:t>ACTIVIDADES SUGERIDAS</w:t>
            </w:r>
          </w:p>
        </w:tc>
        <w:tc>
          <w:tcPr>
            <w:tcW w:w="1797" w:type="dxa"/>
          </w:tcPr>
          <w:p w14:paraId="5594AB8D" w14:textId="77777777" w:rsidR="005D403E" w:rsidRPr="00924B0F" w:rsidRDefault="005D403E" w:rsidP="00783391">
            <w:pPr>
              <w:tabs>
                <w:tab w:val="left" w:pos="7230"/>
              </w:tabs>
              <w:jc w:val="center"/>
              <w:rPr>
                <w:b/>
                <w:color w:val="000000" w:themeColor="text1"/>
              </w:rPr>
            </w:pPr>
            <w:r w:rsidRPr="00924B0F">
              <w:rPr>
                <w:b/>
                <w:color w:val="000000" w:themeColor="text1"/>
              </w:rPr>
              <w:t>BIBLIOGRAFIA ESPECIFICA</w:t>
            </w:r>
          </w:p>
        </w:tc>
        <w:tc>
          <w:tcPr>
            <w:tcW w:w="1220" w:type="dxa"/>
          </w:tcPr>
          <w:p w14:paraId="43861305" w14:textId="77777777" w:rsidR="005D403E" w:rsidRPr="00924B0F" w:rsidRDefault="005D403E" w:rsidP="00783391">
            <w:pPr>
              <w:tabs>
                <w:tab w:val="left" w:pos="7230"/>
              </w:tabs>
              <w:jc w:val="center"/>
              <w:rPr>
                <w:b/>
                <w:color w:val="000000" w:themeColor="text1"/>
              </w:rPr>
            </w:pPr>
            <w:r w:rsidRPr="00924B0F">
              <w:rPr>
                <w:b/>
                <w:color w:val="000000" w:themeColor="text1"/>
              </w:rPr>
              <w:t>PERIODOS</w:t>
            </w:r>
          </w:p>
        </w:tc>
      </w:tr>
      <w:tr w:rsidR="001F2FCD" w14:paraId="266CBFBB" w14:textId="77777777" w:rsidTr="00783391">
        <w:trPr>
          <w:trHeight w:val="1265"/>
        </w:trPr>
        <w:tc>
          <w:tcPr>
            <w:tcW w:w="2349" w:type="dxa"/>
          </w:tcPr>
          <w:p w14:paraId="187FC543" w14:textId="77777777" w:rsidR="0082105A" w:rsidRDefault="0082105A" w:rsidP="001F2FCD">
            <w:pPr>
              <w:tabs>
                <w:tab w:val="left" w:pos="7230"/>
              </w:tabs>
            </w:pPr>
          </w:p>
          <w:p w14:paraId="1F71F1B7" w14:textId="75AA11F4" w:rsidR="001F2FCD" w:rsidRDefault="00722DE5" w:rsidP="001F2FCD">
            <w:pPr>
              <w:tabs>
                <w:tab w:val="left" w:pos="7230"/>
              </w:tabs>
            </w:pPr>
            <w:r>
              <w:t xml:space="preserve">Que el Maestrando fortalezca sus conocimientos teoricos y legales sobre el Recurso de casacion y que desarrolle la capacidad para plantear o resolver casaciones, según la tecnica </w:t>
            </w:r>
            <w:r w:rsidR="00B502DC">
              <w:t>inherente a este medio de impugnacion. Asimismo que profundice en el analisis de la jurisprudencia de la Càmara Civil de la Corte Suprema de Justicia y la Corte de Constitucionalidad en materia de Casacion.</w:t>
            </w:r>
          </w:p>
        </w:tc>
        <w:tc>
          <w:tcPr>
            <w:tcW w:w="2721" w:type="dxa"/>
          </w:tcPr>
          <w:p w14:paraId="0CF944B1" w14:textId="77777777" w:rsidR="001F2FCD" w:rsidRPr="005D281F" w:rsidRDefault="001F2FCD" w:rsidP="001F2FCD">
            <w:pPr>
              <w:ind w:left="70" w:firstLine="290"/>
              <w:rPr>
                <w:rFonts w:eastAsia="Batang" w:cs="Arial"/>
                <w:b/>
                <w:sz w:val="18"/>
                <w:szCs w:val="18"/>
              </w:rPr>
            </w:pPr>
          </w:p>
          <w:p w14:paraId="31FEC132" w14:textId="77777777" w:rsidR="00AA4A64" w:rsidRDefault="00AA4A64" w:rsidP="00AA4A64">
            <w:r>
              <w:t xml:space="preserve">1. Teoría de la impugnación. </w:t>
            </w:r>
          </w:p>
          <w:p w14:paraId="4BB5B104" w14:textId="77777777" w:rsidR="00AA4A64" w:rsidRDefault="00AA4A64" w:rsidP="00AA4A64">
            <w:r>
              <w:t xml:space="preserve">2. Diferencia entre medio de impugnación y recurso. 3. Recursos ordinarios y extraordinarios. </w:t>
            </w:r>
          </w:p>
          <w:p w14:paraId="1444B932" w14:textId="77777777" w:rsidR="00AA4A64" w:rsidRDefault="00AA4A64" w:rsidP="00AA4A64">
            <w:r>
              <w:t xml:space="preserve">4. Impugnación de las resoluciones judiciales en el Código Procesal Civil y Mercantil. </w:t>
            </w:r>
          </w:p>
          <w:p w14:paraId="1DF53722" w14:textId="77777777" w:rsidR="00AA4A64" w:rsidRDefault="00AA4A64" w:rsidP="00AA4A64">
            <w:r>
              <w:t xml:space="preserve">5. Antecedentes históricos de la casación </w:t>
            </w:r>
          </w:p>
          <w:p w14:paraId="2E1EF6B9" w14:textId="77777777" w:rsidR="00AA4A64" w:rsidRDefault="00AA4A64" w:rsidP="00AA4A64">
            <w:r>
              <w:t xml:space="preserve">6. Concepto de casación. </w:t>
            </w:r>
          </w:p>
          <w:p w14:paraId="170493A4" w14:textId="77777777" w:rsidR="00AA4A64" w:rsidRDefault="00AA4A64" w:rsidP="00AA4A64">
            <w:r>
              <w:t xml:space="preserve">7. Naturaleza de la casación. </w:t>
            </w:r>
          </w:p>
          <w:p w14:paraId="2463F12B" w14:textId="77777777" w:rsidR="00AA4A64" w:rsidRDefault="00AA4A64" w:rsidP="00AA4A64">
            <w:r>
              <w:t xml:space="preserve">8. Características de la casación. </w:t>
            </w:r>
          </w:p>
          <w:p w14:paraId="7588DC7D" w14:textId="77777777" w:rsidR="00AA4A64" w:rsidRDefault="00AA4A64" w:rsidP="00AA4A64">
            <w:r>
              <w:t xml:space="preserve">9. Fases del trámite del recurso de casación. </w:t>
            </w:r>
          </w:p>
          <w:p w14:paraId="21738D9D" w14:textId="77777777" w:rsidR="00AA4A64" w:rsidRDefault="00AA4A64" w:rsidP="00AA4A64">
            <w:r>
              <w:t xml:space="preserve">10. Recursos admisibles en el trámite del recurso de casación. </w:t>
            </w:r>
          </w:p>
          <w:p w14:paraId="1FA3C426" w14:textId="77777777" w:rsidR="00AA4A64" w:rsidRDefault="00AA4A64" w:rsidP="00AA4A64">
            <w:r>
              <w:t xml:space="preserve">11. Motivos de la casación. 11.1. Forma. </w:t>
            </w:r>
          </w:p>
          <w:p w14:paraId="2A9C67D5" w14:textId="77777777" w:rsidR="00AA4A64" w:rsidRDefault="00AA4A64" w:rsidP="00AA4A64">
            <w:r>
              <w:t xml:space="preserve">11.2. Fondo. </w:t>
            </w:r>
          </w:p>
          <w:p w14:paraId="650FCA48" w14:textId="77777777" w:rsidR="00AA4A64" w:rsidRDefault="00AA4A64" w:rsidP="00AA4A64">
            <w:r>
              <w:t xml:space="preserve">12. Alegación conjunta de los motivos. </w:t>
            </w:r>
          </w:p>
          <w:p w14:paraId="2F939601" w14:textId="77777777" w:rsidR="00AA4A64" w:rsidRDefault="00AA4A64" w:rsidP="00AA4A64">
            <w:r>
              <w:t xml:space="preserve">13. Materias donde procede la casación civil. 13.1. Civil </w:t>
            </w:r>
          </w:p>
          <w:p w14:paraId="157B18F0" w14:textId="77777777" w:rsidR="00AA4A64" w:rsidRDefault="00AA4A64" w:rsidP="00AA4A64">
            <w:r>
              <w:t xml:space="preserve">13.2 Mercantil. </w:t>
            </w:r>
          </w:p>
          <w:p w14:paraId="76D1296F" w14:textId="77777777" w:rsidR="007D7C7B" w:rsidRDefault="00AA4A64" w:rsidP="00AA4A64">
            <w:r>
              <w:t xml:space="preserve">13.3. Familia </w:t>
            </w:r>
          </w:p>
          <w:p w14:paraId="5EB81F89" w14:textId="7B408F94" w:rsidR="00AA4A64" w:rsidRDefault="00AA4A64" w:rsidP="00AA4A64">
            <w:r>
              <w:t xml:space="preserve">13.4. Contencioso Administrativo. </w:t>
            </w:r>
          </w:p>
          <w:p w14:paraId="5C11C454" w14:textId="77777777" w:rsidR="00AA4A64" w:rsidRDefault="00AA4A64" w:rsidP="00AA4A64">
            <w:r>
              <w:t xml:space="preserve">13.5 Cuentas. </w:t>
            </w:r>
          </w:p>
          <w:p w14:paraId="61DAB7F9" w14:textId="77777777" w:rsidR="00AA4A64" w:rsidRDefault="00AA4A64" w:rsidP="00AA4A64">
            <w:r>
              <w:t xml:space="preserve">14. Análisis de las resoluciones recurribles en casación. </w:t>
            </w:r>
          </w:p>
          <w:p w14:paraId="4833A5D2" w14:textId="77777777" w:rsidR="00AA4A64" w:rsidRDefault="00AA4A64" w:rsidP="00AA4A64">
            <w:r>
              <w:t xml:space="preserve">14.1 Impugnabilidad objetiva. </w:t>
            </w:r>
          </w:p>
          <w:p w14:paraId="7ADA78FA" w14:textId="77777777" w:rsidR="00AA4A64" w:rsidRDefault="00AA4A64" w:rsidP="00AA4A64">
            <w:r>
              <w:t xml:space="preserve">14.2 Impugnabilidad subjetiva. </w:t>
            </w:r>
          </w:p>
          <w:p w14:paraId="3FD4716C" w14:textId="77777777" w:rsidR="00AA4A64" w:rsidRDefault="00AA4A64" w:rsidP="00AA4A64">
            <w:r>
              <w:t xml:space="preserve">15.Requisitos legales para la admisibilidad del recurso de casación. </w:t>
            </w:r>
          </w:p>
          <w:p w14:paraId="462229F8" w14:textId="77777777" w:rsidR="001F2FCD" w:rsidRDefault="00AA4A64" w:rsidP="006A4F19">
            <w:r>
              <w:t xml:space="preserve">15.1 Requisitos generales contenidos en el artículo 61 del Código Procesal Civil y Mercantil. </w:t>
            </w:r>
          </w:p>
          <w:p w14:paraId="237B4551" w14:textId="77777777" w:rsidR="007D7C7B" w:rsidRDefault="007D7C7B" w:rsidP="007D7C7B">
            <w:r>
              <w:t xml:space="preserve">15.2 Requisitos específicos contenidos en el artículo 619 del </w:t>
            </w:r>
            <w:r>
              <w:lastRenderedPageBreak/>
              <w:t xml:space="preserve">Código Procesal Civil y Mercantil. Análisis de criterios de la Cámara Civil y de la Corte de Constitucionalidad, relacionados con el incumplimiento de requisitos legales. </w:t>
            </w:r>
          </w:p>
          <w:p w14:paraId="6C43E405" w14:textId="77777777" w:rsidR="00B6718C" w:rsidRDefault="007D7C7B" w:rsidP="007D7C7B">
            <w:r>
              <w:t xml:space="preserve">16. Planteamiento del recurso. Submotivos regulados en el artículo 622 del Código Procesal Civil y Mercantil (de forma); configuración jurídica y sus efectos. Errores en la constitución de la relación procesal: </w:t>
            </w:r>
          </w:p>
          <w:p w14:paraId="0764CCB3" w14:textId="77777777" w:rsidR="00B6718C" w:rsidRDefault="007D7C7B" w:rsidP="007D7C7B">
            <w:r>
              <w:t>16.1 Cuando el Tribunal de Primera o de Segunda Instancia, careciere de jurisdicción o de competencia para conocer; 16.2 Cuando el Tribunal se niegue a conocer, teniendo la obligación de hacerlo; 16.3 Falta de capacidad legal;</w:t>
            </w:r>
          </w:p>
          <w:p w14:paraId="5B2BF63C" w14:textId="0EF27AFC" w:rsidR="007D7C7B" w:rsidRDefault="007D7C7B" w:rsidP="007D7C7B">
            <w:r>
              <w:t xml:space="preserve"> 16.4 Falta de personalidad; 16.5 Falta de personería;</w:t>
            </w:r>
          </w:p>
          <w:p w14:paraId="4154153A" w14:textId="77777777" w:rsidR="00B6718C" w:rsidRPr="00534B8E" w:rsidRDefault="007D7C7B" w:rsidP="007D7C7B">
            <w:pPr>
              <w:rPr>
                <w:b/>
                <w:bCs/>
              </w:rPr>
            </w:pPr>
            <w:r w:rsidRPr="00534B8E">
              <w:rPr>
                <w:b/>
                <w:bCs/>
              </w:rPr>
              <w:t xml:space="preserve">Errores en el desenvolvimiento de la relación procesal; </w:t>
            </w:r>
          </w:p>
          <w:p w14:paraId="2F070FAE" w14:textId="77777777" w:rsidR="00B6718C" w:rsidRDefault="007D7C7B" w:rsidP="007D7C7B">
            <w:r>
              <w:t>16.6 Omisión de notificaciones personales; 16.7 No abrirse a prueba el proceso o sus incidencias; 16.8 Denegatoria de cualquier diligencia de prueba.</w:t>
            </w:r>
          </w:p>
          <w:p w14:paraId="0F165167" w14:textId="77777777" w:rsidR="00B6718C" w:rsidRPr="00B6718C" w:rsidRDefault="007D7C7B" w:rsidP="007D7C7B">
            <w:pPr>
              <w:rPr>
                <w:b/>
                <w:bCs/>
              </w:rPr>
            </w:pPr>
            <w:r>
              <w:t xml:space="preserve"> </w:t>
            </w:r>
            <w:r w:rsidRPr="00B6718C">
              <w:rPr>
                <w:b/>
                <w:bCs/>
              </w:rPr>
              <w:t xml:space="preserve">Errores en la fase de decisión: </w:t>
            </w:r>
          </w:p>
          <w:p w14:paraId="64E83D4A" w14:textId="77777777" w:rsidR="00B6718C" w:rsidRDefault="007D7C7B" w:rsidP="007D7C7B">
            <w:r>
              <w:t xml:space="preserve">16.9 Cuando el fallo contenga resoluciones contradictorias; </w:t>
            </w:r>
          </w:p>
          <w:p w14:paraId="362E7999" w14:textId="77777777" w:rsidR="00B6718C" w:rsidRDefault="007D7C7B" w:rsidP="007D7C7B">
            <w:r>
              <w:t>16.10 Cuando el fallo otorga más de lo pedido; 16.11 Cuando el fallo no se pronuncia sobre alguno de los puntos objeto del proceso;</w:t>
            </w:r>
          </w:p>
          <w:p w14:paraId="441FC2F5" w14:textId="77777777" w:rsidR="00B6718C" w:rsidRDefault="007D7C7B" w:rsidP="007D7C7B">
            <w:r>
              <w:t xml:space="preserve"> 16.12</w:t>
            </w:r>
            <w:r w:rsidR="00B6718C">
              <w:t xml:space="preserve"> </w:t>
            </w:r>
            <w:r>
              <w:t xml:space="preserve">Por incongruencia del fallo con las acciones que fueron objeto del proceso; </w:t>
            </w:r>
          </w:p>
          <w:p w14:paraId="768DBDEE" w14:textId="77777777" w:rsidR="00B6718C" w:rsidRDefault="007D7C7B" w:rsidP="007D7C7B">
            <w:r>
              <w:lastRenderedPageBreak/>
              <w:t>16.13</w:t>
            </w:r>
            <w:r w:rsidR="00B6718C">
              <w:t xml:space="preserve"> </w:t>
            </w:r>
            <w:r>
              <w:t xml:space="preserve">Por dictarse la sentencia por un Magistrado legalmente impedido. </w:t>
            </w:r>
            <w:r w:rsidR="00B6718C">
              <w:t xml:space="preserve"> </w:t>
            </w:r>
          </w:p>
          <w:p w14:paraId="6EE5D4E7" w14:textId="77777777" w:rsidR="00B6718C" w:rsidRDefault="007D7C7B" w:rsidP="007D7C7B">
            <w:r>
              <w:t>16.14 Por dictarse la sentencia por un número menor de los Magistrados que manda la ley.</w:t>
            </w:r>
          </w:p>
          <w:p w14:paraId="6C688B4C" w14:textId="77777777" w:rsidR="002B3E91" w:rsidRDefault="007D7C7B" w:rsidP="007D7C7B">
            <w:r>
              <w:t xml:space="preserve"> 17. Impugnabilidad de la sentencia de casación. </w:t>
            </w:r>
          </w:p>
          <w:p w14:paraId="2B11AAB9" w14:textId="7C3A8761" w:rsidR="00B6718C" w:rsidRDefault="007D7C7B" w:rsidP="007D7C7B">
            <w:r>
              <w:t xml:space="preserve">18. Jurisprudencia y doctrina legal de la casación por motivos de forma. </w:t>
            </w:r>
          </w:p>
          <w:p w14:paraId="1A15F02A" w14:textId="114BEFE2" w:rsidR="007D7C7B" w:rsidRDefault="007D7C7B" w:rsidP="007D7C7B">
            <w:r>
              <w:t>1</w:t>
            </w:r>
            <w:r w:rsidR="002B3E91">
              <w:t>9</w:t>
            </w:r>
            <w:r>
              <w:t>. Laboratorios de Casación.</w:t>
            </w:r>
          </w:p>
          <w:p w14:paraId="51CCE529" w14:textId="72EE96F5" w:rsidR="007D7C7B" w:rsidRDefault="007D7C7B" w:rsidP="006A4F19"/>
        </w:tc>
        <w:tc>
          <w:tcPr>
            <w:tcW w:w="2929" w:type="dxa"/>
          </w:tcPr>
          <w:p w14:paraId="62B1C662" w14:textId="77777777" w:rsidR="0082105A" w:rsidRDefault="0082105A" w:rsidP="00534B8E"/>
          <w:p w14:paraId="565F9333" w14:textId="78BF6C7C" w:rsidR="00534B8E" w:rsidRDefault="00534B8E" w:rsidP="00534B8E">
            <w:r>
              <w:t>1.</w:t>
            </w:r>
            <w:r>
              <w:t xml:space="preserve"> Exposición magistral por parte del docente.</w:t>
            </w:r>
          </w:p>
          <w:p w14:paraId="0A19F597" w14:textId="77777777" w:rsidR="00534B8E" w:rsidRDefault="00534B8E" w:rsidP="00534B8E">
            <w:r>
              <w:t xml:space="preserve"> 2. Exposiciones de los maestrandos.</w:t>
            </w:r>
          </w:p>
          <w:p w14:paraId="1A66FB82" w14:textId="77777777" w:rsidR="00534B8E" w:rsidRDefault="00534B8E" w:rsidP="00534B8E">
            <w:r>
              <w:t xml:space="preserve"> 3. Exámenes cortos sobre los temas expuestos. </w:t>
            </w:r>
          </w:p>
          <w:p w14:paraId="45C7DDB0" w14:textId="77777777" w:rsidR="00534B8E" w:rsidRDefault="00534B8E" w:rsidP="00534B8E">
            <w:r>
              <w:t xml:space="preserve">4. Trabajo de investigación en grupos. </w:t>
            </w:r>
          </w:p>
          <w:p w14:paraId="30801C9C" w14:textId="7BCB6AA9" w:rsidR="00534B8E" w:rsidRDefault="00534B8E" w:rsidP="00534B8E">
            <w:r>
              <w:t>5. Análisis y debate de casos concretos y jurisprudencia</w:t>
            </w:r>
          </w:p>
          <w:p w14:paraId="3C802BD6" w14:textId="77777777" w:rsidR="001F2FCD" w:rsidRDefault="001F2FCD" w:rsidP="00534B8E">
            <w:pPr>
              <w:jc w:val="both"/>
            </w:pPr>
          </w:p>
        </w:tc>
        <w:tc>
          <w:tcPr>
            <w:tcW w:w="1797" w:type="dxa"/>
          </w:tcPr>
          <w:p w14:paraId="03D1DDB9" w14:textId="77777777" w:rsidR="0082105A" w:rsidRDefault="0082105A" w:rsidP="00534B8E"/>
          <w:p w14:paraId="78FDE49E" w14:textId="591488D3" w:rsidR="00534B8E" w:rsidRDefault="00534B8E" w:rsidP="00534B8E">
            <w:r>
              <w:t xml:space="preserve">1. Aguirre Godoy, Mario. Derecho procesal civil guatemalteco. Centro Editorial VILE, Guatemala 1973. </w:t>
            </w:r>
          </w:p>
          <w:p w14:paraId="73EAF89F" w14:textId="77777777" w:rsidR="00534B8E" w:rsidRDefault="00534B8E" w:rsidP="00534B8E">
            <w:r>
              <w:t xml:space="preserve">2. Aguirre Godoy, Mario. Esquema del recurso de casación civil en Guatemala. Publicación del Organismo Judicial de Guatemala, 1999. </w:t>
            </w:r>
          </w:p>
          <w:p w14:paraId="70A1F545" w14:textId="77777777" w:rsidR="00534B8E" w:rsidRDefault="00534B8E" w:rsidP="00534B8E">
            <w:r>
              <w:t xml:space="preserve">3. Nájera Farfán, Mario Efraín. Derecho procesal civil. Editorial Eros, Guatemala 1970. </w:t>
            </w:r>
          </w:p>
          <w:p w14:paraId="32D1600F" w14:textId="77777777" w:rsidR="00534B8E" w:rsidRDefault="00534B8E" w:rsidP="00534B8E">
            <w:r>
              <w:t>4. Humberto Murcia Ballen. Recurso de casación civil, Bogotá, Colombia, 1983. 5. De La Plaza, Manuel. La casación Civil. Editorial Revista de Derecho Privado, Madrid, 1944.</w:t>
            </w:r>
          </w:p>
          <w:p w14:paraId="43302FDD" w14:textId="77777777" w:rsidR="00534B8E" w:rsidRDefault="00534B8E" w:rsidP="00534B8E">
            <w:r>
              <w:t xml:space="preserve"> 6. Hugo Alsina. Tratado teórico práctico de derecho procesal civil y comercial. Editorial Edias, Buenos Aires, Argentina, 1965. 7. Jorge Cardozo Isaza. Manual práctico </w:t>
            </w:r>
            <w:r>
              <w:lastRenderedPageBreak/>
              <w:t xml:space="preserve">de la casación civil. Librería TEMIS Editorial, Bogotá, Colombia, 1984. 8. Mario C. Parrachione. La Casación como método de control de la función jurisdiccional. Alveroni Ediciones. Argentina, 2003. 9. Gladis E. de Midon. La casación. Rubinsal-Culzoni Editores. Argentina, 2001. 10. Enrique Vescovi. El recurso de casación. Ediciones IDEA. Montevideo, 1996. </w:t>
            </w:r>
          </w:p>
          <w:p w14:paraId="30D20B2C" w14:textId="77777777" w:rsidR="00534B8E" w:rsidRDefault="00534B8E" w:rsidP="00534B8E">
            <w:r>
              <w:t xml:space="preserve">11. Vicente C. Guzmán Fluja. El recurso de casación civil. Tirant Lo Blanch. Valencia, España, 1996. </w:t>
            </w:r>
          </w:p>
          <w:p w14:paraId="738787C6" w14:textId="59417D2B" w:rsidR="00534B8E" w:rsidRDefault="00534B8E" w:rsidP="00534B8E">
            <w:r>
              <w:t>12. Legislación de obligada consulta</w:t>
            </w:r>
            <w:r w:rsidR="00893C9F">
              <w:t>:</w:t>
            </w:r>
            <w:r>
              <w:t xml:space="preserve"> Constitución Política de la República de Guatemala. Ley de Amparo, Exhibición Personal y de Constitucionalidad. Código Procesal Civil y Mercantil. Ley del Organismo Judicial. Código de Comercio. </w:t>
            </w:r>
            <w:r>
              <w:lastRenderedPageBreak/>
              <w:t>Código Civil Ley de lo Contencioso Administrativo. Ley del Tribunal de Cuentas. Ley de Arbitraje. Ley de Tribunales de Familia</w:t>
            </w:r>
          </w:p>
          <w:p w14:paraId="1C1E97B2" w14:textId="77777777" w:rsidR="001F2FCD" w:rsidRDefault="001F2FCD" w:rsidP="007206F7">
            <w:pPr>
              <w:tabs>
                <w:tab w:val="left" w:pos="7230"/>
              </w:tabs>
            </w:pPr>
          </w:p>
        </w:tc>
        <w:tc>
          <w:tcPr>
            <w:tcW w:w="1220" w:type="dxa"/>
          </w:tcPr>
          <w:p w14:paraId="26FEFC04" w14:textId="77777777" w:rsidR="001F2FCD" w:rsidRDefault="001F2FCD" w:rsidP="008227E2">
            <w:pPr>
              <w:tabs>
                <w:tab w:val="left" w:pos="7230"/>
              </w:tabs>
            </w:pPr>
          </w:p>
          <w:p w14:paraId="4AD4D0E6" w14:textId="77777777" w:rsidR="00B45153" w:rsidRDefault="00B45153" w:rsidP="008227E2">
            <w:pPr>
              <w:tabs>
                <w:tab w:val="left" w:pos="7230"/>
              </w:tabs>
            </w:pPr>
          </w:p>
          <w:p w14:paraId="725CDD95" w14:textId="77777777" w:rsidR="00B45153" w:rsidRDefault="00B45153" w:rsidP="008227E2">
            <w:pPr>
              <w:tabs>
                <w:tab w:val="left" w:pos="7230"/>
              </w:tabs>
            </w:pPr>
            <w:r>
              <w:t>19 periodos.</w:t>
            </w:r>
          </w:p>
          <w:p w14:paraId="5CAE512B" w14:textId="224AA84F" w:rsidR="00B45153" w:rsidRDefault="00B45153" w:rsidP="008227E2">
            <w:pPr>
              <w:tabs>
                <w:tab w:val="left" w:pos="7230"/>
              </w:tabs>
            </w:pPr>
            <w:r>
              <w:t>De enero a junio.</w:t>
            </w:r>
          </w:p>
        </w:tc>
      </w:tr>
    </w:tbl>
    <w:p w14:paraId="0E598E12" w14:textId="77777777" w:rsidR="00697E9A" w:rsidRDefault="00697E9A" w:rsidP="00757502">
      <w:pPr>
        <w:jc w:val="both"/>
        <w:rPr>
          <w:rFonts w:eastAsia="Batang" w:cs="Arial"/>
          <w:sz w:val="20"/>
          <w:szCs w:val="20"/>
        </w:rPr>
      </w:pPr>
    </w:p>
    <w:p w14:paraId="1CAC0469" w14:textId="77777777" w:rsidR="00783391" w:rsidRDefault="00783391" w:rsidP="00757502">
      <w:pPr>
        <w:jc w:val="both"/>
        <w:rPr>
          <w:rFonts w:eastAsia="Batang" w:cs="Arial"/>
          <w:sz w:val="20"/>
          <w:szCs w:val="20"/>
        </w:rPr>
      </w:pPr>
    </w:p>
    <w:p w14:paraId="0E31E8A5" w14:textId="24F3D207" w:rsidR="00CA355E" w:rsidRDefault="00CA355E" w:rsidP="00CA355E">
      <w:pPr>
        <w:jc w:val="both"/>
        <w:rPr>
          <w:b/>
        </w:rPr>
      </w:pPr>
      <w:r w:rsidRPr="00792BED">
        <w:rPr>
          <w:b/>
        </w:rPr>
        <w:t>EVALUACION</w:t>
      </w:r>
      <w:r w:rsidR="001E178B">
        <w:rPr>
          <w:b/>
        </w:rPr>
        <w:t>:</w:t>
      </w:r>
    </w:p>
    <w:p w14:paraId="38CD2DD6" w14:textId="1F7DC9E5" w:rsidR="001E178B" w:rsidRDefault="004C48A3" w:rsidP="00CA355E">
      <w:pPr>
        <w:jc w:val="both"/>
        <w:rPr>
          <w:bCs/>
        </w:rPr>
      </w:pPr>
      <w:r>
        <w:rPr>
          <w:bCs/>
        </w:rPr>
        <w:t xml:space="preserve">De conformidad con la normativa establecida en el Reglamento de Evaluacion y Promocion de estudiantes de esta casa de estudios se aprueba </w:t>
      </w:r>
      <w:r w:rsidR="00AE2D49">
        <w:rPr>
          <w:bCs/>
        </w:rPr>
        <w:t xml:space="preserve">con 70 puntos. </w:t>
      </w:r>
    </w:p>
    <w:p w14:paraId="3C342FCD" w14:textId="77777777" w:rsidR="00AE2D49" w:rsidRDefault="00AE2D49" w:rsidP="00AE2D49"/>
    <w:p w14:paraId="3E466B15" w14:textId="001162AA" w:rsidR="00AE2D49" w:rsidRDefault="00AE2D49" w:rsidP="00AE2D49">
      <w:pPr>
        <w:pStyle w:val="Prrafodelista"/>
        <w:numPr>
          <w:ilvl w:val="0"/>
          <w:numId w:val="16"/>
        </w:numPr>
      </w:pPr>
      <w:r>
        <w:t>Exámenes parciales</w:t>
      </w:r>
      <w:r>
        <w:t xml:space="preserve">:   </w:t>
      </w:r>
      <w:r>
        <w:t xml:space="preserve"> 20 puntos</w:t>
      </w:r>
    </w:p>
    <w:p w14:paraId="2F686AEE" w14:textId="110B4735" w:rsidR="00AE2D49" w:rsidRDefault="00AE2D49" w:rsidP="00AE2D49">
      <w:pPr>
        <w:pStyle w:val="Prrafodelista"/>
        <w:numPr>
          <w:ilvl w:val="0"/>
          <w:numId w:val="16"/>
        </w:numPr>
      </w:pPr>
      <w:r>
        <w:t>Laboratorio</w:t>
      </w:r>
      <w:r>
        <w:t xml:space="preserve">:               </w:t>
      </w:r>
      <w:r>
        <w:t xml:space="preserve">20 puntos </w:t>
      </w:r>
    </w:p>
    <w:p w14:paraId="12DE5D0C" w14:textId="5BF9115A" w:rsidR="00AE2D49" w:rsidRDefault="00AE2D49" w:rsidP="00AE2D49">
      <w:pPr>
        <w:pStyle w:val="Prrafodelista"/>
        <w:numPr>
          <w:ilvl w:val="0"/>
          <w:numId w:val="16"/>
        </w:numPr>
      </w:pPr>
      <w:r>
        <w:t>Exposiciones</w:t>
      </w:r>
      <w:r>
        <w:t xml:space="preserve">:            </w:t>
      </w:r>
      <w:r>
        <w:t xml:space="preserve"> 20 puntos </w:t>
      </w:r>
    </w:p>
    <w:p w14:paraId="752084B0" w14:textId="6DFBDDAA" w:rsidR="00AE2D49" w:rsidRDefault="00AE2D49" w:rsidP="00AE2D49">
      <w:pPr>
        <w:pStyle w:val="Prrafodelista"/>
        <w:numPr>
          <w:ilvl w:val="0"/>
          <w:numId w:val="16"/>
        </w:numPr>
      </w:pPr>
      <w:r>
        <w:t>Trabajos</w:t>
      </w:r>
      <w:r>
        <w:t xml:space="preserve">:                   </w:t>
      </w:r>
      <w:r>
        <w:t xml:space="preserve"> 20 puntos </w:t>
      </w:r>
    </w:p>
    <w:p w14:paraId="1179FFF9" w14:textId="006FD077" w:rsidR="00AE2D49" w:rsidRPr="00AE2D49" w:rsidRDefault="00AE2D49" w:rsidP="00AE2D49">
      <w:pPr>
        <w:pStyle w:val="Prrafodelista"/>
        <w:numPr>
          <w:ilvl w:val="0"/>
          <w:numId w:val="16"/>
        </w:numPr>
      </w:pPr>
      <w:r>
        <w:t>Examen Final</w:t>
      </w:r>
      <w:r>
        <w:t xml:space="preserve">:           </w:t>
      </w:r>
      <w:r>
        <w:t xml:space="preserve"> 20 punt</w:t>
      </w:r>
      <w:r>
        <w:t>os</w:t>
      </w:r>
    </w:p>
    <w:p w14:paraId="2BB6B3C5" w14:textId="77777777" w:rsidR="00CA355E" w:rsidRDefault="00CA355E" w:rsidP="00CA355E">
      <w:pPr>
        <w:jc w:val="both"/>
      </w:pPr>
    </w:p>
    <w:p w14:paraId="1B1B5E64" w14:textId="33FB1E42" w:rsidR="00CA355E" w:rsidRDefault="00CA355E" w:rsidP="00CA355E">
      <w:pPr>
        <w:jc w:val="both"/>
        <w:rPr>
          <w:b/>
        </w:rPr>
      </w:pPr>
      <w:r>
        <w:rPr>
          <w:b/>
        </w:rPr>
        <w:t>INVENTARIO DE RECURSOS</w:t>
      </w:r>
    </w:p>
    <w:p w14:paraId="43C4A7A3" w14:textId="311FAC90" w:rsidR="004C48A3" w:rsidRPr="004C48A3" w:rsidRDefault="004C48A3" w:rsidP="00CA355E">
      <w:pPr>
        <w:jc w:val="both"/>
        <w:rPr>
          <w:bCs/>
        </w:rPr>
      </w:pPr>
      <w:r>
        <w:rPr>
          <w:bCs/>
        </w:rPr>
        <w:t>Representado por libros, textos, folletos, ya sea fìsicos o electrònicos y otros que forman parte de la bibliografia, asì como computadora individual</w:t>
      </w:r>
      <w:r w:rsidR="00893C9F">
        <w:rPr>
          <w:bCs/>
        </w:rPr>
        <w:t xml:space="preserve">, telefono para comunicación vìa watsapp, plataforma electrònica, se incluye tambien equipo audiovisual en general. </w:t>
      </w:r>
    </w:p>
    <w:p w14:paraId="0400E34C" w14:textId="77777777" w:rsidR="00783391" w:rsidRDefault="00783391" w:rsidP="00757502">
      <w:pPr>
        <w:jc w:val="both"/>
        <w:rPr>
          <w:rFonts w:eastAsia="Batang" w:cs="Arial"/>
          <w:sz w:val="20"/>
          <w:szCs w:val="20"/>
        </w:rPr>
      </w:pPr>
    </w:p>
    <w:p w14:paraId="27CFB420" w14:textId="663DEF63" w:rsidR="00893C9F" w:rsidRDefault="00893C9F" w:rsidP="008227E2">
      <w:pPr>
        <w:jc w:val="both"/>
        <w:rPr>
          <w:b/>
        </w:rPr>
      </w:pPr>
    </w:p>
    <w:p w14:paraId="66F6D2DC" w14:textId="5C9D0E5D" w:rsidR="00893C9F" w:rsidRDefault="00893C9F" w:rsidP="008227E2">
      <w:pPr>
        <w:jc w:val="both"/>
        <w:rPr>
          <w:b/>
        </w:rPr>
      </w:pPr>
      <w:r>
        <w:rPr>
          <w:b/>
        </w:rPr>
        <w:t>BIBLIOGRAFIA GENERAL:</w:t>
      </w:r>
    </w:p>
    <w:p w14:paraId="433B5D76" w14:textId="1D2ED552" w:rsidR="00893C9F" w:rsidRPr="00893C9F" w:rsidRDefault="00893C9F" w:rsidP="008227E2">
      <w:pPr>
        <w:jc w:val="both"/>
        <w:rPr>
          <w:bCs/>
        </w:rPr>
      </w:pPr>
      <w:r>
        <w:rPr>
          <w:bCs/>
        </w:rPr>
        <w:t>Alvarez Mancilla Erick Alfonso; Alvarez Mancilla, Federico Guillermo, Valdez Polanco Erick Leonel</w:t>
      </w:r>
      <w:r w:rsidR="00AE2D49">
        <w:rPr>
          <w:bCs/>
        </w:rPr>
        <w:t>. Tutela Judicial “Efectiva”. Primera Edicion. Guatemala Septiembre 2020.</w:t>
      </w:r>
    </w:p>
    <w:p w14:paraId="1C1D003F" w14:textId="65A3C260" w:rsidR="00893C9F" w:rsidRDefault="00893C9F" w:rsidP="00CA355E">
      <w:pPr>
        <w:pStyle w:val="Prrafodelista"/>
      </w:pPr>
    </w:p>
    <w:p w14:paraId="5664D38F" w14:textId="77777777" w:rsidR="00893C9F" w:rsidRDefault="00893C9F" w:rsidP="00CA355E">
      <w:pPr>
        <w:pStyle w:val="Prrafodelista"/>
      </w:pPr>
    </w:p>
    <w:p w14:paraId="37F50D71" w14:textId="4F82BD44" w:rsidR="00893C9F" w:rsidRPr="006829BF" w:rsidRDefault="00893C9F" w:rsidP="00893C9F">
      <w:pPr>
        <w:pStyle w:val="Prrafodelista"/>
        <w:ind w:left="0"/>
        <w:rPr>
          <w:b/>
          <w:bCs/>
        </w:rPr>
      </w:pPr>
      <w:r w:rsidRPr="006829BF">
        <w:rPr>
          <w:b/>
          <w:bCs/>
        </w:rPr>
        <w:t>LEYES:</w:t>
      </w:r>
    </w:p>
    <w:p w14:paraId="405ECFD6" w14:textId="744FAF5D" w:rsidR="00697E9A" w:rsidRPr="006829BF" w:rsidRDefault="00893C9F" w:rsidP="00AE2D49">
      <w:pPr>
        <w:pStyle w:val="Prrafodelista"/>
        <w:ind w:left="0"/>
        <w:rPr>
          <w:rFonts w:eastAsia="Batang" w:cs="Arial"/>
        </w:rPr>
      </w:pPr>
      <w:r w:rsidRPr="006829BF">
        <w:t>Constitución Política de la República de Guatemala. Ley de Amparo, Exhibición Personal y de Constitucionalidad. Código Procesal Civil y Mercantil. Ley del Organismo Judicial. Código de Comercio. Código Civil</w:t>
      </w:r>
      <w:r w:rsidR="00AE2D49" w:rsidRPr="006829BF">
        <w:t>.</w:t>
      </w:r>
      <w:r w:rsidRPr="006829BF">
        <w:t xml:space="preserve"> Ley de lo Contencioso Administrativo. Ley del Tribunal de Cuentas. Ley de Arbitraje. Ley de Tribunales de Familia</w:t>
      </w:r>
      <w:r w:rsidR="00AE2D49" w:rsidRPr="006829BF">
        <w:t>.</w:t>
      </w:r>
    </w:p>
    <w:p w14:paraId="10581B70" w14:textId="77777777" w:rsidR="00697E9A" w:rsidRPr="006829BF" w:rsidRDefault="00697E9A" w:rsidP="00697E9A">
      <w:pPr>
        <w:rPr>
          <w:sz w:val="22"/>
          <w:szCs w:val="22"/>
        </w:rPr>
      </w:pPr>
    </w:p>
    <w:p w14:paraId="1F21513C" w14:textId="77777777" w:rsidR="00697E9A" w:rsidRPr="00697E9A" w:rsidRDefault="00697E9A" w:rsidP="00697E9A"/>
    <w:p w14:paraId="5C363174" w14:textId="77777777" w:rsidR="00697E9A" w:rsidRPr="00697E9A" w:rsidRDefault="00697E9A" w:rsidP="00697E9A"/>
    <w:p w14:paraId="261413FF" w14:textId="77777777" w:rsidR="00697E9A" w:rsidRPr="00697E9A" w:rsidRDefault="00697E9A" w:rsidP="00697E9A"/>
    <w:p w14:paraId="6B4FE3D8" w14:textId="77777777" w:rsidR="00697E9A" w:rsidRPr="00697E9A" w:rsidRDefault="00697E9A" w:rsidP="00697E9A"/>
    <w:p w14:paraId="72E4B6DF" w14:textId="77777777" w:rsidR="00697E9A" w:rsidRDefault="00697E9A" w:rsidP="00697E9A"/>
    <w:p w14:paraId="4B488E4F" w14:textId="77777777" w:rsidR="00493FAC" w:rsidRPr="00697E9A" w:rsidRDefault="00697E9A" w:rsidP="00697E9A">
      <w:pPr>
        <w:tabs>
          <w:tab w:val="left" w:pos="8577"/>
        </w:tabs>
      </w:pPr>
      <w:r>
        <w:tab/>
      </w:r>
    </w:p>
    <w:sectPr w:rsidR="00493FAC" w:rsidRPr="00697E9A" w:rsidSect="00697E9A">
      <w:pgSz w:w="12242" w:h="18711" w:code="5"/>
      <w:pgMar w:top="1417" w:right="1701" w:bottom="1417"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A60C" w14:textId="77777777" w:rsidR="00EB44F4" w:rsidRDefault="00EB44F4" w:rsidP="001577CA">
      <w:r>
        <w:separator/>
      </w:r>
    </w:p>
  </w:endnote>
  <w:endnote w:type="continuationSeparator" w:id="0">
    <w:p w14:paraId="4BB7002A" w14:textId="77777777" w:rsidR="00EB44F4" w:rsidRDefault="00EB44F4" w:rsidP="0015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9296" w14:textId="77777777" w:rsidR="00EB44F4" w:rsidRDefault="00EB44F4" w:rsidP="001577CA">
      <w:r>
        <w:separator/>
      </w:r>
    </w:p>
  </w:footnote>
  <w:footnote w:type="continuationSeparator" w:id="0">
    <w:p w14:paraId="72E82984" w14:textId="77777777" w:rsidR="00EB44F4" w:rsidRDefault="00EB44F4" w:rsidP="0015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318"/>
    <w:multiLevelType w:val="hybridMultilevel"/>
    <w:tmpl w:val="049C14AC"/>
    <w:lvl w:ilvl="0" w:tplc="74963CB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D81514"/>
    <w:multiLevelType w:val="hybridMultilevel"/>
    <w:tmpl w:val="4772486E"/>
    <w:lvl w:ilvl="0" w:tplc="3DA681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500B83"/>
    <w:multiLevelType w:val="hybridMultilevel"/>
    <w:tmpl w:val="A00A06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10D8D"/>
    <w:multiLevelType w:val="hybridMultilevel"/>
    <w:tmpl w:val="4A8684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73ED3"/>
    <w:multiLevelType w:val="multilevel"/>
    <w:tmpl w:val="9ED25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72E3AB6"/>
    <w:multiLevelType w:val="hybridMultilevel"/>
    <w:tmpl w:val="970C406C"/>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8B11DBE"/>
    <w:multiLevelType w:val="hybridMultilevel"/>
    <w:tmpl w:val="8264C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22A7A82"/>
    <w:multiLevelType w:val="hybridMultilevel"/>
    <w:tmpl w:val="E086142C"/>
    <w:lvl w:ilvl="0" w:tplc="65F005E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55B7EB2"/>
    <w:multiLevelType w:val="hybridMultilevel"/>
    <w:tmpl w:val="827C3C5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B345D01"/>
    <w:multiLevelType w:val="hybridMultilevel"/>
    <w:tmpl w:val="D452F40E"/>
    <w:lvl w:ilvl="0" w:tplc="88EEBBFA">
      <w:start w:val="1"/>
      <w:numFmt w:val="decimal"/>
      <w:lvlText w:val="%1."/>
      <w:lvlJc w:val="left"/>
      <w:pPr>
        <w:ind w:left="675" w:hanging="360"/>
      </w:pPr>
      <w:rPr>
        <w:rFonts w:hint="default"/>
        <w:b w:val="0"/>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0" w15:restartNumberingAfterBreak="0">
    <w:nsid w:val="561F2762"/>
    <w:multiLevelType w:val="hybridMultilevel"/>
    <w:tmpl w:val="A53A1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20209A"/>
    <w:multiLevelType w:val="hybridMultilevel"/>
    <w:tmpl w:val="4D7AB1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CF0459"/>
    <w:multiLevelType w:val="hybridMultilevel"/>
    <w:tmpl w:val="0E0AE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D70DD4"/>
    <w:multiLevelType w:val="hybridMultilevel"/>
    <w:tmpl w:val="9D400FB8"/>
    <w:lvl w:ilvl="0" w:tplc="4D148432">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FF7BE0"/>
    <w:multiLevelType w:val="hybridMultilevel"/>
    <w:tmpl w:val="C6508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D52089"/>
    <w:multiLevelType w:val="hybridMultilevel"/>
    <w:tmpl w:val="A0B6D7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0"/>
  </w:num>
  <w:num w:numId="5">
    <w:abstractNumId w:val="3"/>
  </w:num>
  <w:num w:numId="6">
    <w:abstractNumId w:val="10"/>
  </w:num>
  <w:num w:numId="7">
    <w:abstractNumId w:val="4"/>
  </w:num>
  <w:num w:numId="8">
    <w:abstractNumId w:val="14"/>
  </w:num>
  <w:num w:numId="9">
    <w:abstractNumId w:val="12"/>
  </w:num>
  <w:num w:numId="10">
    <w:abstractNumId w:val="7"/>
  </w:num>
  <w:num w:numId="11">
    <w:abstractNumId w:val="1"/>
  </w:num>
  <w:num w:numId="12">
    <w:abstractNumId w:val="2"/>
  </w:num>
  <w:num w:numId="13">
    <w:abstractNumId w:val="15"/>
  </w:num>
  <w:num w:numId="14">
    <w:abstractNumId w:val="1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22"/>
    <w:rsid w:val="00005576"/>
    <w:rsid w:val="00020CEC"/>
    <w:rsid w:val="000358FA"/>
    <w:rsid w:val="000B58D8"/>
    <w:rsid w:val="000D7A6D"/>
    <w:rsid w:val="00101599"/>
    <w:rsid w:val="0010426F"/>
    <w:rsid w:val="00110B16"/>
    <w:rsid w:val="001577CA"/>
    <w:rsid w:val="0017569C"/>
    <w:rsid w:val="00193D65"/>
    <w:rsid w:val="001D344D"/>
    <w:rsid w:val="001E178B"/>
    <w:rsid w:val="001F2FCD"/>
    <w:rsid w:val="002357D5"/>
    <w:rsid w:val="00251E81"/>
    <w:rsid w:val="00292C1C"/>
    <w:rsid w:val="002A07DC"/>
    <w:rsid w:val="002B3E91"/>
    <w:rsid w:val="003D6309"/>
    <w:rsid w:val="00493FAC"/>
    <w:rsid w:val="004C48A3"/>
    <w:rsid w:val="004D70B7"/>
    <w:rsid w:val="00532CF1"/>
    <w:rsid w:val="00534B8E"/>
    <w:rsid w:val="00536905"/>
    <w:rsid w:val="00556136"/>
    <w:rsid w:val="0055688C"/>
    <w:rsid w:val="005A2E84"/>
    <w:rsid w:val="005D026B"/>
    <w:rsid w:val="005D281F"/>
    <w:rsid w:val="005D403E"/>
    <w:rsid w:val="006017BB"/>
    <w:rsid w:val="006829BF"/>
    <w:rsid w:val="00695CF6"/>
    <w:rsid w:val="00697E9A"/>
    <w:rsid w:val="006A4F19"/>
    <w:rsid w:val="00704BCB"/>
    <w:rsid w:val="007206F7"/>
    <w:rsid w:val="00722DE5"/>
    <w:rsid w:val="00743E50"/>
    <w:rsid w:val="00757502"/>
    <w:rsid w:val="00783391"/>
    <w:rsid w:val="007848EC"/>
    <w:rsid w:val="007B5A44"/>
    <w:rsid w:val="007D7C7B"/>
    <w:rsid w:val="007E25A0"/>
    <w:rsid w:val="007E301C"/>
    <w:rsid w:val="0082105A"/>
    <w:rsid w:val="008227E2"/>
    <w:rsid w:val="00825DF0"/>
    <w:rsid w:val="00893C9F"/>
    <w:rsid w:val="008B364B"/>
    <w:rsid w:val="008C506C"/>
    <w:rsid w:val="008E255F"/>
    <w:rsid w:val="0091037F"/>
    <w:rsid w:val="00961A22"/>
    <w:rsid w:val="00A468B6"/>
    <w:rsid w:val="00A873C5"/>
    <w:rsid w:val="00AA019B"/>
    <w:rsid w:val="00AA4A64"/>
    <w:rsid w:val="00AE2D49"/>
    <w:rsid w:val="00AE7784"/>
    <w:rsid w:val="00B32E6F"/>
    <w:rsid w:val="00B45153"/>
    <w:rsid w:val="00B502DC"/>
    <w:rsid w:val="00B6718C"/>
    <w:rsid w:val="00BA5632"/>
    <w:rsid w:val="00BB45D3"/>
    <w:rsid w:val="00BC6AB0"/>
    <w:rsid w:val="00BD2961"/>
    <w:rsid w:val="00BE721D"/>
    <w:rsid w:val="00C732E6"/>
    <w:rsid w:val="00CA355E"/>
    <w:rsid w:val="00CE3753"/>
    <w:rsid w:val="00D3539E"/>
    <w:rsid w:val="00D44A77"/>
    <w:rsid w:val="00D50BC2"/>
    <w:rsid w:val="00D6070E"/>
    <w:rsid w:val="00D655B1"/>
    <w:rsid w:val="00E04534"/>
    <w:rsid w:val="00E72140"/>
    <w:rsid w:val="00E828E0"/>
    <w:rsid w:val="00EB42C8"/>
    <w:rsid w:val="00EB44F4"/>
    <w:rsid w:val="00EC7CFE"/>
    <w:rsid w:val="00EF48E3"/>
    <w:rsid w:val="00F023A4"/>
    <w:rsid w:val="00F631CA"/>
  </w:rsids>
  <m:mathPr>
    <m:mathFont m:val="Cambria Math"/>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F74A"/>
  <w15:docId w15:val="{07D70A31-0778-134E-BD7E-579FBC7E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49"/>
    <w:pPr>
      <w:spacing w:after="0" w:line="240" w:lineRule="auto"/>
    </w:pPr>
    <w:rPr>
      <w:rFonts w:ascii="Times New Roman" w:eastAsia="Times New Roman" w:hAnsi="Times New Roman" w:cs="Times New Roman"/>
      <w:sz w:val="24"/>
      <w:szCs w:val="24"/>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A22"/>
    <w:rPr>
      <w:rFonts w:ascii="Tahoma" w:eastAsiaTheme="minorEastAsia" w:hAnsi="Tahoma" w:cs="Tahoma"/>
      <w:sz w:val="16"/>
      <w:szCs w:val="16"/>
      <w:lang w:eastAsia="es-GT"/>
    </w:rPr>
  </w:style>
  <w:style w:type="character" w:customStyle="1" w:styleId="TextodegloboCar">
    <w:name w:val="Texto de globo Car"/>
    <w:basedOn w:val="Fuentedeprrafopredeter"/>
    <w:link w:val="Textodeglobo"/>
    <w:uiPriority w:val="99"/>
    <w:semiHidden/>
    <w:rsid w:val="00961A22"/>
    <w:rPr>
      <w:rFonts w:ascii="Tahoma" w:hAnsi="Tahoma" w:cs="Tahoma"/>
      <w:sz w:val="16"/>
      <w:szCs w:val="16"/>
    </w:rPr>
  </w:style>
  <w:style w:type="paragraph" w:styleId="Sinespaciado">
    <w:name w:val="No Spacing"/>
    <w:uiPriority w:val="1"/>
    <w:qFormat/>
    <w:rsid w:val="004D70B7"/>
    <w:pPr>
      <w:spacing w:after="0" w:line="240" w:lineRule="auto"/>
    </w:pPr>
  </w:style>
  <w:style w:type="paragraph" w:styleId="Prrafodelista">
    <w:name w:val="List Paragraph"/>
    <w:basedOn w:val="Normal"/>
    <w:uiPriority w:val="34"/>
    <w:qFormat/>
    <w:rsid w:val="00F023A4"/>
    <w:pPr>
      <w:spacing w:after="200" w:line="276" w:lineRule="auto"/>
      <w:ind w:left="720"/>
      <w:contextualSpacing/>
    </w:pPr>
    <w:rPr>
      <w:rFonts w:asciiTheme="minorHAnsi" w:eastAsiaTheme="minorEastAsia" w:hAnsiTheme="minorHAnsi" w:cstheme="minorBidi"/>
      <w:sz w:val="22"/>
      <w:szCs w:val="22"/>
      <w:lang w:eastAsia="es-GT"/>
    </w:rPr>
  </w:style>
  <w:style w:type="table" w:styleId="Tablaconcuadrcula">
    <w:name w:val="Table Grid"/>
    <w:basedOn w:val="Tablanormal"/>
    <w:uiPriority w:val="59"/>
    <w:rsid w:val="0015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77CA"/>
    <w:pPr>
      <w:tabs>
        <w:tab w:val="center" w:pos="4419"/>
        <w:tab w:val="right" w:pos="8838"/>
      </w:tabs>
    </w:pPr>
    <w:rPr>
      <w:rFonts w:asciiTheme="minorHAnsi" w:eastAsiaTheme="minorEastAsia" w:hAnsiTheme="minorHAnsi" w:cstheme="minorBidi"/>
      <w:sz w:val="22"/>
      <w:szCs w:val="22"/>
      <w:lang w:eastAsia="es-GT"/>
    </w:rPr>
  </w:style>
  <w:style w:type="character" w:customStyle="1" w:styleId="EncabezadoCar">
    <w:name w:val="Encabezado Car"/>
    <w:basedOn w:val="Fuentedeprrafopredeter"/>
    <w:link w:val="Encabezado"/>
    <w:uiPriority w:val="99"/>
    <w:rsid w:val="001577CA"/>
  </w:style>
  <w:style w:type="paragraph" w:styleId="Piedepgina">
    <w:name w:val="footer"/>
    <w:basedOn w:val="Normal"/>
    <w:link w:val="PiedepginaCar"/>
    <w:uiPriority w:val="99"/>
    <w:unhideWhenUsed/>
    <w:rsid w:val="001577CA"/>
    <w:pPr>
      <w:tabs>
        <w:tab w:val="center" w:pos="4419"/>
        <w:tab w:val="right" w:pos="8838"/>
      </w:tabs>
    </w:pPr>
    <w:rPr>
      <w:rFonts w:asciiTheme="minorHAnsi" w:eastAsiaTheme="minorEastAsia" w:hAnsiTheme="minorHAnsi" w:cstheme="minorBidi"/>
      <w:sz w:val="22"/>
      <w:szCs w:val="22"/>
      <w:lang w:eastAsia="es-GT"/>
    </w:rPr>
  </w:style>
  <w:style w:type="character" w:customStyle="1" w:styleId="PiedepginaCar">
    <w:name w:val="Pie de página Car"/>
    <w:basedOn w:val="Fuentedeprrafopredeter"/>
    <w:link w:val="Piedepgina"/>
    <w:uiPriority w:val="99"/>
    <w:rsid w:val="001577CA"/>
  </w:style>
  <w:style w:type="paragraph" w:styleId="Ttulo">
    <w:name w:val="Title"/>
    <w:basedOn w:val="Normal"/>
    <w:link w:val="TtuloCar"/>
    <w:qFormat/>
    <w:rsid w:val="00101599"/>
    <w:pPr>
      <w:jc w:val="center"/>
    </w:pPr>
    <w:rPr>
      <w:rFonts w:ascii="Arial" w:hAnsi="Arial" w:cs="Arial"/>
      <w:b/>
      <w:bCs/>
      <w:lang w:val="es-ES" w:eastAsia="es-ES"/>
    </w:rPr>
  </w:style>
  <w:style w:type="character" w:customStyle="1" w:styleId="TtuloCar">
    <w:name w:val="Título Car"/>
    <w:basedOn w:val="Fuentedeprrafopredeter"/>
    <w:link w:val="Ttulo"/>
    <w:rsid w:val="00101599"/>
    <w:rPr>
      <w:rFonts w:ascii="Arial" w:eastAsia="Times New Roman" w:hAnsi="Arial" w:cs="Arial"/>
      <w:b/>
      <w:bCs/>
      <w:sz w:val="24"/>
      <w:szCs w:val="24"/>
      <w:lang w:val="es-ES" w:eastAsia="es-ES"/>
    </w:rPr>
  </w:style>
  <w:style w:type="table" w:styleId="Sombreadoclaro">
    <w:name w:val="Light Shading"/>
    <w:basedOn w:val="Tablaconefectos3D1"/>
    <w:uiPriority w:val="60"/>
    <w:rsid w:val="005A2E84"/>
    <w:pPr>
      <w:spacing w:after="0" w:line="240" w:lineRule="auto"/>
    </w:pPr>
    <w:rPr>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cPr>
      <w:shd w:val="solid" w:color="C0C0C0" w:fill="FFFFFF"/>
    </w:tcPr>
    <w:tblStylePr w:type="firstRow">
      <w:pPr>
        <w:spacing w:before="0" w:after="0" w:line="240" w:lineRule="auto"/>
      </w:pPr>
      <w:rPr>
        <w:b/>
        <w:bCs/>
        <w:color w:val="800080"/>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1">
    <w:name w:val="Table 3D effects 1"/>
    <w:basedOn w:val="Tablanormal"/>
    <w:uiPriority w:val="99"/>
    <w:semiHidden/>
    <w:unhideWhenUsed/>
    <w:rsid w:val="005A2E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088">
      <w:bodyDiv w:val="1"/>
      <w:marLeft w:val="0"/>
      <w:marRight w:val="0"/>
      <w:marTop w:val="0"/>
      <w:marBottom w:val="0"/>
      <w:divBdr>
        <w:top w:val="none" w:sz="0" w:space="0" w:color="auto"/>
        <w:left w:val="none" w:sz="0" w:space="0" w:color="auto"/>
        <w:bottom w:val="none" w:sz="0" w:space="0" w:color="auto"/>
        <w:right w:val="none" w:sz="0" w:space="0" w:color="auto"/>
      </w:divBdr>
    </w:div>
    <w:div w:id="491409543">
      <w:bodyDiv w:val="1"/>
      <w:marLeft w:val="0"/>
      <w:marRight w:val="0"/>
      <w:marTop w:val="0"/>
      <w:marBottom w:val="0"/>
      <w:divBdr>
        <w:top w:val="none" w:sz="0" w:space="0" w:color="auto"/>
        <w:left w:val="none" w:sz="0" w:space="0" w:color="auto"/>
        <w:bottom w:val="none" w:sz="0" w:space="0" w:color="auto"/>
        <w:right w:val="none" w:sz="0" w:space="0" w:color="auto"/>
      </w:divBdr>
    </w:div>
    <w:div w:id="525946491">
      <w:bodyDiv w:val="1"/>
      <w:marLeft w:val="0"/>
      <w:marRight w:val="0"/>
      <w:marTop w:val="0"/>
      <w:marBottom w:val="0"/>
      <w:divBdr>
        <w:top w:val="none" w:sz="0" w:space="0" w:color="auto"/>
        <w:left w:val="none" w:sz="0" w:space="0" w:color="auto"/>
        <w:bottom w:val="none" w:sz="0" w:space="0" w:color="auto"/>
        <w:right w:val="none" w:sz="0" w:space="0" w:color="auto"/>
      </w:divBdr>
    </w:div>
    <w:div w:id="732698500">
      <w:bodyDiv w:val="1"/>
      <w:marLeft w:val="0"/>
      <w:marRight w:val="0"/>
      <w:marTop w:val="0"/>
      <w:marBottom w:val="0"/>
      <w:divBdr>
        <w:top w:val="none" w:sz="0" w:space="0" w:color="auto"/>
        <w:left w:val="none" w:sz="0" w:space="0" w:color="auto"/>
        <w:bottom w:val="none" w:sz="0" w:space="0" w:color="auto"/>
        <w:right w:val="none" w:sz="0" w:space="0" w:color="auto"/>
      </w:divBdr>
    </w:div>
    <w:div w:id="840781122">
      <w:bodyDiv w:val="1"/>
      <w:marLeft w:val="0"/>
      <w:marRight w:val="0"/>
      <w:marTop w:val="0"/>
      <w:marBottom w:val="0"/>
      <w:divBdr>
        <w:top w:val="none" w:sz="0" w:space="0" w:color="auto"/>
        <w:left w:val="none" w:sz="0" w:space="0" w:color="auto"/>
        <w:bottom w:val="none" w:sz="0" w:space="0" w:color="auto"/>
        <w:right w:val="none" w:sz="0" w:space="0" w:color="auto"/>
      </w:divBdr>
    </w:div>
    <w:div w:id="1006059228">
      <w:bodyDiv w:val="1"/>
      <w:marLeft w:val="0"/>
      <w:marRight w:val="0"/>
      <w:marTop w:val="0"/>
      <w:marBottom w:val="0"/>
      <w:divBdr>
        <w:top w:val="none" w:sz="0" w:space="0" w:color="auto"/>
        <w:left w:val="none" w:sz="0" w:space="0" w:color="auto"/>
        <w:bottom w:val="none" w:sz="0" w:space="0" w:color="auto"/>
        <w:right w:val="none" w:sz="0" w:space="0" w:color="auto"/>
      </w:divBdr>
    </w:div>
    <w:div w:id="1151827928">
      <w:bodyDiv w:val="1"/>
      <w:marLeft w:val="0"/>
      <w:marRight w:val="0"/>
      <w:marTop w:val="0"/>
      <w:marBottom w:val="0"/>
      <w:divBdr>
        <w:top w:val="none" w:sz="0" w:space="0" w:color="auto"/>
        <w:left w:val="none" w:sz="0" w:space="0" w:color="auto"/>
        <w:bottom w:val="none" w:sz="0" w:space="0" w:color="auto"/>
        <w:right w:val="none" w:sz="0" w:space="0" w:color="auto"/>
      </w:divBdr>
    </w:div>
    <w:div w:id="1157040249">
      <w:bodyDiv w:val="1"/>
      <w:marLeft w:val="0"/>
      <w:marRight w:val="0"/>
      <w:marTop w:val="0"/>
      <w:marBottom w:val="0"/>
      <w:divBdr>
        <w:top w:val="none" w:sz="0" w:space="0" w:color="auto"/>
        <w:left w:val="none" w:sz="0" w:space="0" w:color="auto"/>
        <w:bottom w:val="none" w:sz="0" w:space="0" w:color="auto"/>
        <w:right w:val="none" w:sz="0" w:space="0" w:color="auto"/>
      </w:divBdr>
    </w:div>
    <w:div w:id="1569072690">
      <w:bodyDiv w:val="1"/>
      <w:marLeft w:val="0"/>
      <w:marRight w:val="0"/>
      <w:marTop w:val="0"/>
      <w:marBottom w:val="0"/>
      <w:divBdr>
        <w:top w:val="none" w:sz="0" w:space="0" w:color="auto"/>
        <w:left w:val="none" w:sz="0" w:space="0" w:color="auto"/>
        <w:bottom w:val="none" w:sz="0" w:space="0" w:color="auto"/>
        <w:right w:val="none" w:sz="0" w:space="0" w:color="auto"/>
      </w:divBdr>
    </w:div>
    <w:div w:id="1780176896">
      <w:bodyDiv w:val="1"/>
      <w:marLeft w:val="0"/>
      <w:marRight w:val="0"/>
      <w:marTop w:val="0"/>
      <w:marBottom w:val="0"/>
      <w:divBdr>
        <w:top w:val="none" w:sz="0" w:space="0" w:color="auto"/>
        <w:left w:val="none" w:sz="0" w:space="0" w:color="auto"/>
        <w:bottom w:val="none" w:sz="0" w:space="0" w:color="auto"/>
        <w:right w:val="none" w:sz="0" w:space="0" w:color="auto"/>
      </w:divBdr>
    </w:div>
    <w:div w:id="18986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B5DC-77E7-4DF4-A065-D4251042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POSTGRADO</dc:creator>
  <cp:lastModifiedBy>Nester Vásquez</cp:lastModifiedBy>
  <cp:revision>2</cp:revision>
  <cp:lastPrinted>2017-02-02T21:50:00Z</cp:lastPrinted>
  <dcterms:created xsi:type="dcterms:W3CDTF">2022-02-26T01:10:00Z</dcterms:created>
  <dcterms:modified xsi:type="dcterms:W3CDTF">2022-02-26T01:10:00Z</dcterms:modified>
</cp:coreProperties>
</file>