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CB" w:rsidRDefault="00704BCB" w:rsidP="008B364B">
      <w:pPr>
        <w:jc w:val="center"/>
      </w:pPr>
    </w:p>
    <w:p w:rsidR="00704BCB" w:rsidRPr="0017569C" w:rsidRDefault="000D7A6D" w:rsidP="00704BCB">
      <w:pPr>
        <w:jc w:val="center"/>
        <w:rPr>
          <w:rFonts w:ascii="Lucida Bright" w:hAnsi="Lucida Bright"/>
          <w:sz w:val="48"/>
          <w:szCs w:val="48"/>
        </w:rPr>
      </w:pPr>
      <w:r w:rsidRPr="0017569C">
        <w:rPr>
          <w:rFonts w:ascii="Lucida Bright" w:hAnsi="Lucida Bright"/>
          <w:sz w:val="48"/>
          <w:szCs w:val="48"/>
        </w:rPr>
        <w:t>NOMBRE DEL CURSO</w:t>
      </w:r>
    </w:p>
    <w:p w:rsidR="000358FA" w:rsidRPr="000D7A6D" w:rsidRDefault="000D7A6D" w:rsidP="000D7A6D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CODIGO DEL CURSO</w:t>
      </w:r>
    </w:p>
    <w:p w:rsidR="000D7A6D" w:rsidRDefault="00CF6A30" w:rsidP="00704BCB">
      <w:pPr>
        <w:pStyle w:val="Sinespaciado"/>
        <w:jc w:val="center"/>
        <w:rPr>
          <w:noProof/>
          <w:lang w:val="en-US" w:eastAsia="en-US"/>
        </w:rPr>
      </w:pPr>
      <w:r>
        <w:rPr>
          <w:noProof/>
        </w:rPr>
        <w:drawing>
          <wp:inline distT="0" distB="0" distL="0" distR="0">
            <wp:extent cx="3838575" cy="906819"/>
            <wp:effectExtent l="0" t="0" r="0" b="7620"/>
            <wp:docPr id="3" name="Imagen 1" descr="nuevologo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logon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0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E84" w:rsidRDefault="005A2E84" w:rsidP="00704BCB">
      <w:pPr>
        <w:pStyle w:val="Sinespaciado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88"/>
        <w:gridCol w:w="5220"/>
        <w:gridCol w:w="2810"/>
      </w:tblGrid>
      <w:tr w:rsidR="0017569C" w:rsidTr="005A2E84">
        <w:tc>
          <w:tcPr>
            <w:tcW w:w="2988" w:type="dxa"/>
          </w:tcPr>
          <w:p w:rsidR="005A2E84" w:rsidRDefault="005A2E84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Universidad de San Carlos de Guatemala</w:t>
            </w:r>
          </w:p>
          <w:p w:rsidR="0017569C" w:rsidRDefault="0017569C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275022" wp14:editId="4039E9C4">
                  <wp:extent cx="1116280" cy="1154518"/>
                  <wp:effectExtent l="57150" t="57150" r="65405" b="64770"/>
                  <wp:docPr id="1" name="Imagen 1" descr="usacfondo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acfondo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34" cy="1159538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25400" cap="sq" cmpd="sng">
                            <a:solidFill>
                              <a:schemeClr val="tx1"/>
                            </a:solidFill>
                            <a:round/>
                          </a:ln>
                          <a:effectLst/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5A2E84" w:rsidRDefault="005A2E84" w:rsidP="0017569C">
            <w:pPr>
              <w:pStyle w:val="Sinespaciad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A2E84" w:rsidRDefault="005A2E84" w:rsidP="0017569C">
            <w:pPr>
              <w:pStyle w:val="Sinespaciad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7569C" w:rsidRPr="00CC6E6A" w:rsidRDefault="00C220BE" w:rsidP="00825597">
            <w:pPr>
              <w:pStyle w:val="Sinespaciado"/>
              <w:tabs>
                <w:tab w:val="left" w:pos="673"/>
                <w:tab w:val="center" w:pos="2502"/>
              </w:tabs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C6E6A">
              <w:rPr>
                <w:b/>
                <w:i/>
                <w:color w:val="000000" w:themeColor="text1"/>
                <w:sz w:val="28"/>
                <w:szCs w:val="28"/>
              </w:rPr>
              <w:t>MAESTRIA EN</w:t>
            </w:r>
            <w:r w:rsidR="00A20F07" w:rsidRPr="00CC6E6A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A33178" w:rsidRPr="00CC6E6A">
              <w:rPr>
                <w:b/>
                <w:i/>
                <w:color w:val="000000" w:themeColor="text1"/>
                <w:sz w:val="28"/>
                <w:szCs w:val="28"/>
              </w:rPr>
              <w:t>DERECHOS HUMANOS</w:t>
            </w:r>
          </w:p>
          <w:p w:rsidR="005A2E84" w:rsidRDefault="005A2E84" w:rsidP="0017569C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7569C" w:rsidRPr="006F6021" w:rsidRDefault="00825597" w:rsidP="0017569C">
            <w:pPr>
              <w:pStyle w:val="Sinespaciad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F6021">
              <w:rPr>
                <w:b/>
                <w:i/>
                <w:color w:val="000000" w:themeColor="text1"/>
                <w:sz w:val="28"/>
                <w:szCs w:val="28"/>
              </w:rPr>
              <w:t>Dra. María del Rosario Velásquez Juárez</w:t>
            </w:r>
          </w:p>
          <w:p w:rsidR="000816AC" w:rsidRPr="006F6021" w:rsidRDefault="00484478" w:rsidP="0017569C">
            <w:pPr>
              <w:pStyle w:val="Sinespaciado"/>
              <w:jc w:val="center"/>
              <w:rPr>
                <w:b/>
                <w:i/>
              </w:rPr>
            </w:pPr>
            <w:r w:rsidRPr="006F6021">
              <w:rPr>
                <w:b/>
                <w:i/>
                <w:color w:val="000000" w:themeColor="text1"/>
                <w:sz w:val="28"/>
                <w:szCs w:val="28"/>
              </w:rPr>
              <w:t>20</w:t>
            </w:r>
            <w:r w:rsidR="002E6DEE" w:rsidRPr="006F6021"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684FF7">
              <w:rPr>
                <w:b/>
                <w:i/>
                <w:color w:val="000000" w:themeColor="text1"/>
                <w:sz w:val="28"/>
                <w:szCs w:val="28"/>
              </w:rPr>
              <w:t>2</w:t>
            </w:r>
          </w:p>
          <w:p w:rsidR="0017569C" w:rsidRDefault="0017569C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10" w:type="dxa"/>
          </w:tcPr>
          <w:p w:rsidR="005A2E84" w:rsidRDefault="005A2E84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Facultad de Ciencias </w:t>
            </w:r>
          </w:p>
          <w:p w:rsidR="005A2E84" w:rsidRDefault="005A2E84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Jurídicas y Sociales</w:t>
            </w:r>
          </w:p>
          <w:p w:rsidR="0017569C" w:rsidRDefault="0017569C" w:rsidP="00704BCB">
            <w:pPr>
              <w:pStyle w:val="Sinespaciad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C9CDA3" wp14:editId="40E299FE">
                  <wp:extent cx="1151907" cy="1190235"/>
                  <wp:effectExtent l="57150" t="57150" r="67310" b="67310"/>
                  <wp:docPr id="2" name="Imagen 2" descr="logofacul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facul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27" cy="1190153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25400" cap="sq" cmpd="sng">
                            <a:solidFill>
                              <a:schemeClr val="tx1"/>
                            </a:solidFill>
                            <a:round/>
                          </a:ln>
                          <a:effectLst/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69C" w:rsidRDefault="0017569C" w:rsidP="00704BCB">
      <w:pPr>
        <w:pStyle w:val="Sinespaciado"/>
        <w:jc w:val="center"/>
        <w:rPr>
          <w:b/>
          <w:color w:val="000000" w:themeColor="text1"/>
          <w:sz w:val="28"/>
          <w:szCs w:val="28"/>
        </w:rPr>
      </w:pPr>
    </w:p>
    <w:p w:rsidR="00020CEC" w:rsidRDefault="00020CEC" w:rsidP="00CE3753"/>
    <w:p w:rsidR="000358FA" w:rsidRPr="006F6021" w:rsidRDefault="000358FA" w:rsidP="000358FA">
      <w:pPr>
        <w:pBdr>
          <w:bottom w:val="single" w:sz="4" w:space="1" w:color="auto"/>
        </w:pBdr>
        <w:spacing w:after="0"/>
        <w:jc w:val="center"/>
        <w:rPr>
          <w:b/>
          <w:i/>
          <w:lang w:val="es-ES"/>
        </w:rPr>
      </w:pPr>
      <w:r w:rsidRPr="00792BED">
        <w:rPr>
          <w:b/>
          <w:lang w:val="es-ES"/>
        </w:rPr>
        <w:t xml:space="preserve">PROGRAMA </w:t>
      </w:r>
      <w:r w:rsidR="00825597">
        <w:rPr>
          <w:b/>
          <w:lang w:val="es-ES"/>
        </w:rPr>
        <w:t xml:space="preserve"> </w:t>
      </w:r>
      <w:r w:rsidR="00825597" w:rsidRPr="006F6021">
        <w:rPr>
          <w:b/>
          <w:i/>
          <w:lang w:val="es-ES"/>
        </w:rPr>
        <w:t xml:space="preserve">CURSO: </w:t>
      </w:r>
      <w:r w:rsidR="00A20F07" w:rsidRPr="006F6021">
        <w:rPr>
          <w:b/>
          <w:i/>
          <w:lang w:val="es-ES"/>
        </w:rPr>
        <w:t>DERECHOS ECONÓMICOS, SOCIALES Y CULTURALES</w:t>
      </w:r>
      <w:r w:rsidR="00684FF7">
        <w:rPr>
          <w:b/>
          <w:i/>
          <w:lang w:val="es-ES"/>
        </w:rPr>
        <w:t>-DESCA-</w:t>
      </w:r>
    </w:p>
    <w:p w:rsidR="000358FA" w:rsidRPr="00622D94" w:rsidRDefault="000358FA" w:rsidP="000358FA">
      <w:pPr>
        <w:spacing w:after="0"/>
        <w:jc w:val="both"/>
        <w:rPr>
          <w:b/>
          <w:i/>
          <w:lang w:val="es-ES"/>
        </w:rPr>
      </w:pPr>
    </w:p>
    <w:p w:rsidR="00CA355E" w:rsidRPr="0045110F" w:rsidRDefault="00825597" w:rsidP="00CA355E">
      <w:pPr>
        <w:spacing w:after="0"/>
        <w:jc w:val="both"/>
        <w:rPr>
          <w:b/>
          <w:i/>
          <w:lang w:val="es-ES"/>
        </w:rPr>
      </w:pPr>
      <w:r w:rsidRPr="0045110F">
        <w:rPr>
          <w:b/>
          <w:i/>
          <w:lang w:val="es-ES"/>
        </w:rPr>
        <w:t>PRESENTACIÓN:</w:t>
      </w:r>
    </w:p>
    <w:p w:rsidR="0045110F" w:rsidRDefault="0045110F" w:rsidP="00CA355E">
      <w:pPr>
        <w:spacing w:after="0"/>
        <w:jc w:val="both"/>
        <w:rPr>
          <w:b/>
          <w:lang w:val="es-ES"/>
        </w:rPr>
      </w:pPr>
    </w:p>
    <w:p w:rsidR="00622D94" w:rsidRDefault="00622D94" w:rsidP="00A20F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A20F07">
        <w:rPr>
          <w:sz w:val="24"/>
          <w:szCs w:val="24"/>
        </w:rPr>
        <w:t xml:space="preserve">l concepto de dignidad  </w:t>
      </w:r>
      <w:r>
        <w:rPr>
          <w:sz w:val="24"/>
          <w:szCs w:val="24"/>
        </w:rPr>
        <w:t xml:space="preserve">está implícito en los derechos humanos, así, </w:t>
      </w:r>
      <w:r w:rsidR="00A20F07">
        <w:rPr>
          <w:sz w:val="24"/>
          <w:szCs w:val="24"/>
        </w:rPr>
        <w:t>los derechos económicos, sociales y culturales</w:t>
      </w:r>
      <w:r w:rsidR="00684FF7">
        <w:rPr>
          <w:sz w:val="24"/>
          <w:szCs w:val="24"/>
        </w:rPr>
        <w:t xml:space="preserve"> y ambientales</w:t>
      </w:r>
      <w:r w:rsidR="00A20F07">
        <w:rPr>
          <w:sz w:val="24"/>
          <w:szCs w:val="24"/>
        </w:rPr>
        <w:t xml:space="preserve"> se a</w:t>
      </w:r>
      <w:r w:rsidR="0063590C">
        <w:rPr>
          <w:sz w:val="24"/>
          <w:szCs w:val="24"/>
        </w:rPr>
        <w:t>cercan</w:t>
      </w:r>
      <w:r>
        <w:rPr>
          <w:sz w:val="24"/>
          <w:szCs w:val="24"/>
        </w:rPr>
        <w:t xml:space="preserve"> a este derecho</w:t>
      </w:r>
      <w:r w:rsidR="0063590C">
        <w:rPr>
          <w:sz w:val="24"/>
          <w:szCs w:val="24"/>
        </w:rPr>
        <w:t xml:space="preserve"> indiscutiblemente </w:t>
      </w:r>
      <w:r>
        <w:rPr>
          <w:sz w:val="24"/>
          <w:szCs w:val="24"/>
        </w:rPr>
        <w:t>para toda</w:t>
      </w:r>
      <w:r w:rsidR="00A20F07">
        <w:rPr>
          <w:sz w:val="24"/>
          <w:szCs w:val="24"/>
        </w:rPr>
        <w:t xml:space="preserve"> la población, por lo que no solo se necesita la protección, </w:t>
      </w:r>
      <w:r>
        <w:rPr>
          <w:sz w:val="24"/>
          <w:szCs w:val="24"/>
        </w:rPr>
        <w:t>sino el respeto y la exigencia.</w:t>
      </w:r>
      <w:r w:rsidR="0045110F">
        <w:rPr>
          <w:sz w:val="24"/>
          <w:szCs w:val="24"/>
        </w:rPr>
        <w:t xml:space="preserve">  Los derechos económicos, sociales y culturales cada vez cobran mayor importancia y vigencia  en nuestras sociedades y en las obligaciones que tienen los  est</w:t>
      </w:r>
      <w:r w:rsidR="00684FF7">
        <w:rPr>
          <w:sz w:val="24"/>
          <w:szCs w:val="24"/>
        </w:rPr>
        <w:t xml:space="preserve">ados de respetarlos </w:t>
      </w:r>
      <w:r w:rsidR="0045110F">
        <w:rPr>
          <w:sz w:val="24"/>
          <w:szCs w:val="24"/>
        </w:rPr>
        <w:t xml:space="preserve"> donde la región latinoamericana evidencia  las mayores desigualdades, la crisis de la pobreza</w:t>
      </w:r>
      <w:r w:rsidR="003D28D9">
        <w:rPr>
          <w:rStyle w:val="Refdenotaalpie"/>
          <w:sz w:val="24"/>
          <w:szCs w:val="24"/>
        </w:rPr>
        <w:footnoteReference w:id="1"/>
      </w:r>
      <w:r w:rsidR="0045110F">
        <w:rPr>
          <w:sz w:val="24"/>
          <w:szCs w:val="24"/>
        </w:rPr>
        <w:t xml:space="preserve"> que afecta a millones de mujeres y hombres, las cuales se hacen más complejas y presentan una serie de dificultades para su garantía, exigibilidad y justiciabilidad. </w:t>
      </w:r>
    </w:p>
    <w:p w:rsidR="00622D94" w:rsidRDefault="00622D94" w:rsidP="00A20F07">
      <w:pPr>
        <w:spacing w:after="0" w:line="240" w:lineRule="auto"/>
        <w:jc w:val="both"/>
        <w:rPr>
          <w:sz w:val="24"/>
          <w:szCs w:val="24"/>
        </w:rPr>
      </w:pPr>
    </w:p>
    <w:p w:rsidR="00A20F07" w:rsidRDefault="006717E4" w:rsidP="00A20F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684FF7">
        <w:rPr>
          <w:sz w:val="24"/>
          <w:szCs w:val="24"/>
        </w:rPr>
        <w:t xml:space="preserve">ste curso reafirma que los </w:t>
      </w:r>
      <w:r w:rsidR="00A20F07" w:rsidRPr="003A7DD4">
        <w:rPr>
          <w:sz w:val="24"/>
          <w:szCs w:val="24"/>
        </w:rPr>
        <w:t>Derechos Económicos, Sociales y Culturales,</w:t>
      </w:r>
      <w:r w:rsidR="00684FF7">
        <w:rPr>
          <w:sz w:val="24"/>
          <w:szCs w:val="24"/>
        </w:rPr>
        <w:t xml:space="preserve"> y ambientales tiene una interdependencia  con los derechos civiles y Políticos, los cuales han venido evolucionando en estos últimos años, principalmente en la Justiciabilidad.  Por ello los DESCA, </w:t>
      </w:r>
      <w:r w:rsidR="00A20F07" w:rsidRPr="003A7DD4">
        <w:rPr>
          <w:sz w:val="24"/>
          <w:szCs w:val="24"/>
        </w:rPr>
        <w:t xml:space="preserve"> tiene como objetivo </w:t>
      </w:r>
      <w:r w:rsidR="00C220BE">
        <w:rPr>
          <w:sz w:val="24"/>
          <w:szCs w:val="24"/>
        </w:rPr>
        <w:t>conocer su</w:t>
      </w:r>
      <w:r w:rsidR="00A20F07">
        <w:rPr>
          <w:sz w:val="24"/>
          <w:szCs w:val="24"/>
        </w:rPr>
        <w:t xml:space="preserve"> naturaleza y con mayor </w:t>
      </w:r>
      <w:r w:rsidR="00C220BE">
        <w:rPr>
          <w:sz w:val="24"/>
          <w:szCs w:val="24"/>
        </w:rPr>
        <w:t>importancia su</w:t>
      </w:r>
      <w:r w:rsidR="00A20F07">
        <w:rPr>
          <w:sz w:val="24"/>
          <w:szCs w:val="24"/>
        </w:rPr>
        <w:t xml:space="preserve"> exigibilidad, ya que históricamente estos siempre han sido </w:t>
      </w:r>
      <w:r w:rsidR="00A20F07" w:rsidRPr="003A7DD4">
        <w:rPr>
          <w:sz w:val="24"/>
          <w:szCs w:val="24"/>
        </w:rPr>
        <w:t xml:space="preserve">afectados tanto económica como </w:t>
      </w:r>
      <w:r w:rsidR="00C220BE" w:rsidRPr="003A7DD4">
        <w:rPr>
          <w:sz w:val="24"/>
          <w:szCs w:val="24"/>
        </w:rPr>
        <w:t>política ante</w:t>
      </w:r>
      <w:r w:rsidR="00A20F07" w:rsidRPr="003A7DD4">
        <w:rPr>
          <w:sz w:val="24"/>
          <w:szCs w:val="24"/>
        </w:rPr>
        <w:t xml:space="preserve"> factores que controlan el desarrollo económico como lo son </w:t>
      </w:r>
      <w:r w:rsidR="00C220BE" w:rsidRPr="003A7DD4">
        <w:rPr>
          <w:sz w:val="24"/>
          <w:szCs w:val="24"/>
        </w:rPr>
        <w:t>los grupos</w:t>
      </w:r>
      <w:r w:rsidR="00A20F07" w:rsidRPr="003A7DD4">
        <w:rPr>
          <w:sz w:val="24"/>
          <w:szCs w:val="24"/>
        </w:rPr>
        <w:t xml:space="preserve"> de </w:t>
      </w:r>
      <w:r w:rsidR="00C220BE" w:rsidRPr="003A7DD4">
        <w:rPr>
          <w:sz w:val="24"/>
          <w:szCs w:val="24"/>
        </w:rPr>
        <w:t>interés y</w:t>
      </w:r>
      <w:r w:rsidR="00A20F07" w:rsidRPr="003A7DD4">
        <w:rPr>
          <w:sz w:val="24"/>
          <w:szCs w:val="24"/>
        </w:rPr>
        <w:t xml:space="preserve"> las políticas neoliberales, </w:t>
      </w:r>
      <w:r w:rsidR="00C220BE" w:rsidRPr="003A7DD4">
        <w:rPr>
          <w:sz w:val="24"/>
          <w:szCs w:val="24"/>
        </w:rPr>
        <w:t>siendo necesario</w:t>
      </w:r>
      <w:r w:rsidR="00A20F07" w:rsidRPr="003A7DD4">
        <w:rPr>
          <w:sz w:val="24"/>
          <w:szCs w:val="24"/>
        </w:rPr>
        <w:t xml:space="preserve"> conocer </w:t>
      </w:r>
      <w:r w:rsidR="00A20F07">
        <w:rPr>
          <w:sz w:val="24"/>
          <w:szCs w:val="24"/>
        </w:rPr>
        <w:t xml:space="preserve">su </w:t>
      </w:r>
      <w:r w:rsidR="00C220BE" w:rsidRPr="003A7DD4">
        <w:rPr>
          <w:sz w:val="24"/>
          <w:szCs w:val="24"/>
        </w:rPr>
        <w:t>concept</w:t>
      </w:r>
      <w:r w:rsidR="00C220BE">
        <w:rPr>
          <w:sz w:val="24"/>
          <w:szCs w:val="24"/>
        </w:rPr>
        <w:t xml:space="preserve">ualización, </w:t>
      </w:r>
      <w:r w:rsidR="00C220BE" w:rsidRPr="003A7DD4">
        <w:rPr>
          <w:sz w:val="24"/>
          <w:szCs w:val="24"/>
        </w:rPr>
        <w:t>sus</w:t>
      </w:r>
      <w:r w:rsidR="00A20F07" w:rsidRPr="003A7DD4">
        <w:rPr>
          <w:sz w:val="24"/>
          <w:szCs w:val="24"/>
        </w:rPr>
        <w:t xml:space="preserve"> ámbitos de protección</w:t>
      </w:r>
      <w:r w:rsidR="00A20F07">
        <w:rPr>
          <w:sz w:val="24"/>
          <w:szCs w:val="24"/>
        </w:rPr>
        <w:t xml:space="preserve"> </w:t>
      </w:r>
      <w:r w:rsidR="00C220BE">
        <w:rPr>
          <w:sz w:val="24"/>
          <w:szCs w:val="24"/>
        </w:rPr>
        <w:t>y justiciabilidad</w:t>
      </w:r>
      <w:r w:rsidR="00A20F07">
        <w:rPr>
          <w:sz w:val="24"/>
          <w:szCs w:val="24"/>
        </w:rPr>
        <w:t xml:space="preserve"> </w:t>
      </w:r>
      <w:r w:rsidR="00622D94">
        <w:rPr>
          <w:sz w:val="24"/>
          <w:szCs w:val="24"/>
        </w:rPr>
        <w:t xml:space="preserve">desde el </w:t>
      </w:r>
      <w:r w:rsidR="00A20F07">
        <w:rPr>
          <w:sz w:val="24"/>
          <w:szCs w:val="24"/>
        </w:rPr>
        <w:t xml:space="preserve">constitucionalismo social. </w:t>
      </w:r>
    </w:p>
    <w:p w:rsidR="00220B03" w:rsidRDefault="00220B03" w:rsidP="00A20F07">
      <w:pPr>
        <w:spacing w:after="0" w:line="240" w:lineRule="auto"/>
        <w:jc w:val="both"/>
        <w:rPr>
          <w:sz w:val="24"/>
          <w:szCs w:val="24"/>
        </w:rPr>
      </w:pPr>
    </w:p>
    <w:p w:rsidR="00220B03" w:rsidRPr="001E1939" w:rsidRDefault="00220B03" w:rsidP="00A20F07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sz w:val="24"/>
          <w:szCs w:val="24"/>
        </w:rPr>
        <w:t>En el marco de los  DESC</w:t>
      </w:r>
      <w:r w:rsidR="00684FF7">
        <w:rPr>
          <w:sz w:val="24"/>
          <w:szCs w:val="24"/>
        </w:rPr>
        <w:t>A</w:t>
      </w:r>
      <w:r>
        <w:rPr>
          <w:sz w:val="24"/>
          <w:szCs w:val="24"/>
        </w:rPr>
        <w:t>, las políticas públicas y las estrategias de desarrollo deben de estar presentes y desarrolladas dentro de los principios de derechos humanos</w:t>
      </w:r>
      <w:r w:rsidR="003D28D9">
        <w:rPr>
          <w:sz w:val="24"/>
          <w:szCs w:val="24"/>
        </w:rPr>
        <w:t xml:space="preserve"> para el empoderamiento de los grupos humanos excluidos y el impulso de la exigibilidad de sus derechos. </w:t>
      </w:r>
    </w:p>
    <w:p w:rsidR="00A20F07" w:rsidRPr="001E1939" w:rsidRDefault="00A20F07" w:rsidP="00A20F07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A20F07" w:rsidRDefault="00A20F07" w:rsidP="00CA355E">
      <w:pPr>
        <w:pStyle w:val="Prrafodelista"/>
        <w:spacing w:after="0"/>
        <w:ind w:left="0"/>
        <w:jc w:val="both"/>
        <w:rPr>
          <w:sz w:val="20"/>
          <w:szCs w:val="20"/>
        </w:rPr>
      </w:pPr>
    </w:p>
    <w:p w:rsidR="00C24022" w:rsidRDefault="00C24022" w:rsidP="00CA355E">
      <w:pPr>
        <w:pStyle w:val="Prrafodelista"/>
        <w:spacing w:after="0"/>
        <w:ind w:left="0"/>
        <w:jc w:val="both"/>
        <w:rPr>
          <w:sz w:val="20"/>
          <w:szCs w:val="20"/>
        </w:rPr>
      </w:pPr>
    </w:p>
    <w:p w:rsidR="00C24022" w:rsidRDefault="00C24022" w:rsidP="00CA355E">
      <w:pPr>
        <w:pStyle w:val="Prrafodelista"/>
        <w:spacing w:after="0"/>
        <w:ind w:left="0"/>
        <w:jc w:val="both"/>
        <w:rPr>
          <w:sz w:val="20"/>
          <w:szCs w:val="20"/>
        </w:rPr>
      </w:pPr>
    </w:p>
    <w:p w:rsidR="00C24022" w:rsidRDefault="00C24022" w:rsidP="00CA355E">
      <w:pPr>
        <w:pStyle w:val="Prrafodelista"/>
        <w:spacing w:after="0"/>
        <w:ind w:left="0"/>
        <w:jc w:val="both"/>
        <w:rPr>
          <w:sz w:val="20"/>
          <w:szCs w:val="20"/>
        </w:rPr>
      </w:pPr>
    </w:p>
    <w:p w:rsidR="00C24022" w:rsidRDefault="00C24022" w:rsidP="00CA355E">
      <w:pPr>
        <w:pStyle w:val="Prrafodelista"/>
        <w:spacing w:after="0"/>
        <w:ind w:left="0"/>
        <w:jc w:val="both"/>
        <w:rPr>
          <w:sz w:val="20"/>
          <w:szCs w:val="20"/>
        </w:rPr>
      </w:pPr>
    </w:p>
    <w:p w:rsidR="00C24022" w:rsidRDefault="00C24022" w:rsidP="00CA355E">
      <w:pPr>
        <w:pStyle w:val="Prrafodelista"/>
        <w:spacing w:after="0"/>
        <w:ind w:left="0"/>
        <w:jc w:val="both"/>
        <w:rPr>
          <w:sz w:val="20"/>
          <w:szCs w:val="20"/>
        </w:rPr>
      </w:pPr>
    </w:p>
    <w:p w:rsidR="00C24022" w:rsidRPr="00740830" w:rsidRDefault="00C24022" w:rsidP="00CA355E">
      <w:pPr>
        <w:pStyle w:val="Prrafodelista"/>
        <w:spacing w:after="0"/>
        <w:ind w:left="0"/>
        <w:jc w:val="both"/>
        <w:rPr>
          <w:sz w:val="20"/>
          <w:szCs w:val="20"/>
        </w:rPr>
      </w:pPr>
    </w:p>
    <w:p w:rsidR="00CA355E" w:rsidRDefault="00CA355E" w:rsidP="00CA355E">
      <w:pPr>
        <w:spacing w:after="0"/>
        <w:jc w:val="both"/>
        <w:rPr>
          <w:b/>
        </w:rPr>
      </w:pPr>
      <w:r w:rsidRPr="00792BED">
        <w:rPr>
          <w:b/>
        </w:rPr>
        <w:t>OBJETIVO GENERAL</w:t>
      </w:r>
      <w:r w:rsidR="009E25A7">
        <w:rPr>
          <w:b/>
        </w:rPr>
        <w:t>:</w:t>
      </w:r>
      <w:r w:rsidR="00D4569F">
        <w:rPr>
          <w:b/>
        </w:rPr>
        <w:t xml:space="preserve"> </w:t>
      </w:r>
    </w:p>
    <w:p w:rsidR="00D4569F" w:rsidRDefault="00D4569F" w:rsidP="00CA355E">
      <w:pPr>
        <w:spacing w:after="0"/>
        <w:jc w:val="both"/>
        <w:rPr>
          <w:b/>
        </w:rPr>
      </w:pPr>
    </w:p>
    <w:p w:rsidR="00A20F07" w:rsidRDefault="00A20F07" w:rsidP="00A20F07">
      <w:pPr>
        <w:spacing w:after="0" w:line="240" w:lineRule="auto"/>
        <w:jc w:val="both"/>
        <w:rPr>
          <w:sz w:val="24"/>
          <w:szCs w:val="24"/>
        </w:rPr>
      </w:pPr>
      <w:r w:rsidRPr="003A7DD4">
        <w:rPr>
          <w:sz w:val="24"/>
          <w:szCs w:val="24"/>
        </w:rPr>
        <w:t>Que l</w:t>
      </w:r>
      <w:r>
        <w:rPr>
          <w:sz w:val="24"/>
          <w:szCs w:val="24"/>
        </w:rPr>
        <w:t>a</w:t>
      </w:r>
      <w:r w:rsidRPr="003A7DD4">
        <w:rPr>
          <w:sz w:val="24"/>
          <w:szCs w:val="24"/>
        </w:rPr>
        <w:t>s y l</w:t>
      </w:r>
      <w:r>
        <w:rPr>
          <w:sz w:val="24"/>
          <w:szCs w:val="24"/>
        </w:rPr>
        <w:t>o</w:t>
      </w:r>
      <w:r w:rsidRPr="003A7DD4">
        <w:rPr>
          <w:sz w:val="24"/>
          <w:szCs w:val="24"/>
        </w:rPr>
        <w:t xml:space="preserve">s </w:t>
      </w:r>
      <w:r w:rsidR="00613E74">
        <w:rPr>
          <w:sz w:val="24"/>
          <w:szCs w:val="24"/>
        </w:rPr>
        <w:t>maestrándo</w:t>
      </w:r>
      <w:r w:rsidR="00613E74" w:rsidRPr="003A7DD4">
        <w:rPr>
          <w:sz w:val="24"/>
          <w:szCs w:val="24"/>
        </w:rPr>
        <w:t>s</w:t>
      </w:r>
      <w:r w:rsidRPr="003A7DD4">
        <w:rPr>
          <w:sz w:val="24"/>
          <w:szCs w:val="24"/>
        </w:rPr>
        <w:t xml:space="preserve"> se involucren </w:t>
      </w:r>
      <w:r w:rsidR="00622D94" w:rsidRPr="003A7DD4">
        <w:rPr>
          <w:sz w:val="24"/>
          <w:szCs w:val="24"/>
        </w:rPr>
        <w:t>en el</w:t>
      </w:r>
      <w:r w:rsidRPr="003A7DD4">
        <w:rPr>
          <w:sz w:val="24"/>
          <w:szCs w:val="24"/>
        </w:rPr>
        <w:t xml:space="preserve"> conocimiento, protección y tutela de los Derechos Económicos, Socia</w:t>
      </w:r>
      <w:r w:rsidR="00C24022">
        <w:rPr>
          <w:sz w:val="24"/>
          <w:szCs w:val="24"/>
        </w:rPr>
        <w:t xml:space="preserve">les y Culturales y ambientales </w:t>
      </w:r>
      <w:r>
        <w:rPr>
          <w:sz w:val="24"/>
          <w:szCs w:val="24"/>
        </w:rPr>
        <w:t xml:space="preserve">que les permita en su accionar diario aplicar los mecanismos de exigibilidad y justiciabilidad de estos derechos. </w:t>
      </w:r>
      <w:r w:rsidRPr="003A7DD4">
        <w:rPr>
          <w:sz w:val="24"/>
          <w:szCs w:val="24"/>
        </w:rPr>
        <w:t xml:space="preserve">  </w:t>
      </w:r>
    </w:p>
    <w:p w:rsidR="00D4569F" w:rsidRDefault="00D4569F" w:rsidP="00A20F07">
      <w:pPr>
        <w:spacing w:after="0" w:line="240" w:lineRule="auto"/>
        <w:jc w:val="both"/>
        <w:rPr>
          <w:sz w:val="24"/>
          <w:szCs w:val="24"/>
        </w:rPr>
      </w:pPr>
    </w:p>
    <w:p w:rsidR="008227E2" w:rsidRPr="00792BED" w:rsidRDefault="008227E2" w:rsidP="00CA355E">
      <w:pPr>
        <w:spacing w:after="0"/>
        <w:jc w:val="both"/>
        <w:rPr>
          <w:b/>
        </w:rPr>
      </w:pPr>
    </w:p>
    <w:p w:rsidR="00CA355E" w:rsidRDefault="00CA355E" w:rsidP="00CA355E">
      <w:pPr>
        <w:spacing w:after="0"/>
        <w:jc w:val="both"/>
        <w:rPr>
          <w:b/>
          <w:lang w:val="es-ES"/>
        </w:rPr>
      </w:pPr>
      <w:r>
        <w:rPr>
          <w:b/>
          <w:lang w:val="es-ES"/>
        </w:rPr>
        <w:t>CONTENIDO DEL CURSO</w:t>
      </w:r>
      <w:r w:rsidR="00D4569F">
        <w:rPr>
          <w:b/>
          <w:lang w:val="es-ES"/>
        </w:rPr>
        <w:t xml:space="preserve">: </w:t>
      </w:r>
    </w:p>
    <w:p w:rsidR="00D4569F" w:rsidRDefault="00D4569F" w:rsidP="00CA355E">
      <w:pPr>
        <w:spacing w:after="0"/>
        <w:jc w:val="both"/>
        <w:rPr>
          <w:b/>
          <w:lang w:val="es-ES"/>
        </w:rPr>
      </w:pPr>
    </w:p>
    <w:p w:rsidR="00F349B5" w:rsidRDefault="00F349B5" w:rsidP="00CA355E">
      <w:pPr>
        <w:spacing w:after="0"/>
        <w:jc w:val="both"/>
        <w:rPr>
          <w:b/>
          <w:lang w:val="es-ES"/>
        </w:rPr>
      </w:pPr>
    </w:p>
    <w:p w:rsidR="00CA355E" w:rsidRDefault="00F349B5" w:rsidP="00A20F07">
      <w:pPr>
        <w:spacing w:after="0"/>
        <w:jc w:val="both"/>
        <w:rPr>
          <w:rFonts w:eastAsia="Batang" w:cs="Arial"/>
          <w:sz w:val="20"/>
          <w:szCs w:val="20"/>
        </w:rPr>
        <w:sectPr w:rsidR="00CA355E" w:rsidSect="007B0A14">
          <w:footerReference w:type="default" r:id="rId14"/>
          <w:pgSz w:w="12242" w:h="18711" w:code="5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9"/>
          <w:docGrid w:linePitch="360"/>
        </w:sectPr>
      </w:pPr>
      <w:r w:rsidRPr="00A20F07">
        <w:rPr>
          <w:lang w:val="es-ES"/>
        </w:rPr>
        <w:t>El curso atenderá</w:t>
      </w:r>
      <w:r w:rsidR="00A20F07">
        <w:rPr>
          <w:lang w:val="es-ES"/>
        </w:rPr>
        <w:t xml:space="preserve"> tópicos fundamentales  sobre los antecedentes de los derechos económicos, sociales y culturales</w:t>
      </w:r>
      <w:r w:rsidR="00C24022">
        <w:rPr>
          <w:lang w:val="es-ES"/>
        </w:rPr>
        <w:t xml:space="preserve"> y ambientales</w:t>
      </w:r>
      <w:r w:rsidRPr="00A20F07">
        <w:rPr>
          <w:lang w:val="es-ES"/>
        </w:rPr>
        <w:t xml:space="preserve">, </w:t>
      </w:r>
      <w:r w:rsidR="00A20F07">
        <w:rPr>
          <w:lang w:val="es-ES"/>
        </w:rPr>
        <w:t xml:space="preserve"> los ámbitos de protección, la obligación del Estado frente a los DESC para su reconocimiento y protección.</w:t>
      </w:r>
    </w:p>
    <w:p w:rsidR="005D403E" w:rsidRPr="005A2E84" w:rsidRDefault="005D403E" w:rsidP="005A2E84">
      <w:pPr>
        <w:rPr>
          <w:rFonts w:eastAsia="Batang" w:cs="Arial"/>
          <w:sz w:val="20"/>
          <w:szCs w:val="20"/>
        </w:rPr>
        <w:sectPr w:rsidR="005D403E" w:rsidRPr="005A2E84" w:rsidSect="00020CEC">
          <w:type w:val="continuous"/>
          <w:pgSz w:w="12242" w:h="18711" w:code="5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9"/>
          <w:docGrid w:linePitch="360"/>
        </w:sectPr>
      </w:pPr>
    </w:p>
    <w:tbl>
      <w:tblPr>
        <w:tblStyle w:val="Tablaconcuadrcula"/>
        <w:tblpPr w:leftFromText="141" w:rightFromText="141" w:horzAnchor="margin" w:tblpXSpec="center" w:tblpY="-720"/>
        <w:tblW w:w="11016" w:type="dxa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1843"/>
        <w:gridCol w:w="3422"/>
        <w:gridCol w:w="1220"/>
      </w:tblGrid>
      <w:tr w:rsidR="00F349B5" w:rsidTr="00DD642C">
        <w:trPr>
          <w:trHeight w:val="1265"/>
        </w:trPr>
        <w:tc>
          <w:tcPr>
            <w:tcW w:w="1838" w:type="dxa"/>
          </w:tcPr>
          <w:p w:rsidR="00F349B5" w:rsidRPr="00F349B5" w:rsidRDefault="00F349B5" w:rsidP="00F349B5">
            <w:pPr>
              <w:tabs>
                <w:tab w:val="left" w:pos="7230"/>
              </w:tabs>
              <w:jc w:val="center"/>
              <w:rPr>
                <w:b/>
                <w:sz w:val="24"/>
                <w:szCs w:val="24"/>
              </w:rPr>
            </w:pPr>
            <w:r w:rsidRPr="00F349B5">
              <w:rPr>
                <w:b/>
                <w:sz w:val="24"/>
                <w:szCs w:val="24"/>
              </w:rPr>
              <w:lastRenderedPageBreak/>
              <w:t>OBJETIVOS ESPECIFICOS</w:t>
            </w:r>
          </w:p>
        </w:tc>
        <w:tc>
          <w:tcPr>
            <w:tcW w:w="2693" w:type="dxa"/>
          </w:tcPr>
          <w:p w:rsidR="00F349B5" w:rsidRDefault="00F349B5" w:rsidP="001F2FCD">
            <w:pPr>
              <w:ind w:left="70" w:firstLine="290"/>
              <w:rPr>
                <w:rFonts w:eastAsia="Batang" w:cs="Arial"/>
                <w:b/>
                <w:sz w:val="18"/>
                <w:szCs w:val="18"/>
              </w:rPr>
            </w:pPr>
          </w:p>
          <w:p w:rsidR="00F349B5" w:rsidRPr="00F349B5" w:rsidRDefault="00F349B5" w:rsidP="001F2FCD">
            <w:pPr>
              <w:ind w:left="70" w:firstLine="290"/>
              <w:rPr>
                <w:rFonts w:eastAsia="Batang" w:cs="Arial"/>
                <w:b/>
                <w:sz w:val="24"/>
                <w:szCs w:val="24"/>
              </w:rPr>
            </w:pPr>
            <w:r w:rsidRPr="00F349B5">
              <w:rPr>
                <w:rFonts w:eastAsia="Batang" w:cs="Arial"/>
                <w:b/>
                <w:sz w:val="24"/>
                <w:szCs w:val="24"/>
              </w:rPr>
              <w:t>CONTENIDO</w:t>
            </w:r>
          </w:p>
        </w:tc>
        <w:tc>
          <w:tcPr>
            <w:tcW w:w="1843" w:type="dxa"/>
          </w:tcPr>
          <w:p w:rsidR="00F349B5" w:rsidRDefault="00F349B5" w:rsidP="00AD0341">
            <w:pPr>
              <w:ind w:left="720"/>
              <w:jc w:val="both"/>
            </w:pPr>
          </w:p>
          <w:p w:rsidR="00AD0341" w:rsidRPr="00AD0341" w:rsidRDefault="00AD0341" w:rsidP="008E49A8">
            <w:pPr>
              <w:ind w:left="177" w:hanging="142"/>
              <w:rPr>
                <w:b/>
              </w:rPr>
            </w:pPr>
            <w:r w:rsidRPr="00AD0341">
              <w:rPr>
                <w:b/>
              </w:rPr>
              <w:t>ACTIVIDADES SUGERIDAS</w:t>
            </w:r>
          </w:p>
        </w:tc>
        <w:tc>
          <w:tcPr>
            <w:tcW w:w="3422" w:type="dxa"/>
          </w:tcPr>
          <w:p w:rsidR="00F349B5" w:rsidRDefault="00F349B5" w:rsidP="007206F7">
            <w:pPr>
              <w:tabs>
                <w:tab w:val="left" w:pos="7230"/>
              </w:tabs>
            </w:pPr>
          </w:p>
          <w:p w:rsidR="00AD0341" w:rsidRPr="00AD0341" w:rsidRDefault="00AD0341" w:rsidP="007206F7">
            <w:pPr>
              <w:tabs>
                <w:tab w:val="left" w:pos="7230"/>
              </w:tabs>
              <w:rPr>
                <w:b/>
              </w:rPr>
            </w:pPr>
            <w:r w:rsidRPr="00AD0341">
              <w:rPr>
                <w:b/>
              </w:rPr>
              <w:t>BIBLIOGRAFÍA ESPECÍFICA</w:t>
            </w:r>
          </w:p>
        </w:tc>
        <w:tc>
          <w:tcPr>
            <w:tcW w:w="1220" w:type="dxa"/>
          </w:tcPr>
          <w:p w:rsidR="00AD0341" w:rsidRDefault="00AD0341" w:rsidP="008227E2">
            <w:pPr>
              <w:tabs>
                <w:tab w:val="left" w:pos="7230"/>
              </w:tabs>
            </w:pPr>
          </w:p>
          <w:p w:rsidR="00AD0341" w:rsidRDefault="00AD0341" w:rsidP="008227E2">
            <w:pPr>
              <w:tabs>
                <w:tab w:val="left" w:pos="7230"/>
              </w:tabs>
            </w:pPr>
          </w:p>
          <w:p w:rsidR="00F349B5" w:rsidRPr="00AD0341" w:rsidRDefault="00AD0341" w:rsidP="008227E2">
            <w:pPr>
              <w:tabs>
                <w:tab w:val="left" w:pos="7230"/>
              </w:tabs>
              <w:rPr>
                <w:b/>
              </w:rPr>
            </w:pPr>
            <w:r w:rsidRPr="00AD0341">
              <w:rPr>
                <w:b/>
              </w:rPr>
              <w:t>PERIODOS</w:t>
            </w:r>
          </w:p>
        </w:tc>
      </w:tr>
      <w:tr w:rsidR="002E6DEE" w:rsidTr="00DD642C">
        <w:trPr>
          <w:trHeight w:val="1265"/>
        </w:trPr>
        <w:tc>
          <w:tcPr>
            <w:tcW w:w="1838" w:type="dxa"/>
          </w:tcPr>
          <w:p w:rsidR="002E6DEE" w:rsidRDefault="00661F10" w:rsidP="00CC6E6A">
            <w:pPr>
              <w:tabs>
                <w:tab w:val="left" w:pos="7230"/>
              </w:tabs>
              <w:jc w:val="both"/>
            </w:pPr>
            <w:r>
              <w:t>Conocer la evolución de los DESC  y su garantía constitucional como derechos humanos fundamentales</w:t>
            </w:r>
          </w:p>
        </w:tc>
        <w:tc>
          <w:tcPr>
            <w:tcW w:w="2693" w:type="dxa"/>
          </w:tcPr>
          <w:p w:rsidR="002E6DEE" w:rsidRDefault="002E6DEE" w:rsidP="002E6DEE">
            <w:pPr>
              <w:jc w:val="both"/>
              <w:rPr>
                <w:rFonts w:eastAsia="Batang" w:cs="Arial"/>
                <w:b/>
                <w:sz w:val="18"/>
                <w:szCs w:val="18"/>
              </w:rPr>
            </w:pPr>
            <w:r w:rsidRPr="00981389">
              <w:rPr>
                <w:rFonts w:eastAsia="Batang" w:cs="Arial"/>
                <w:b/>
                <w:sz w:val="20"/>
                <w:szCs w:val="20"/>
              </w:rPr>
              <w:t>Los Derechos Económicos, Sociales y Culturales</w:t>
            </w:r>
            <w:r>
              <w:rPr>
                <w:rFonts w:eastAsia="Batang" w:cs="Arial"/>
                <w:b/>
                <w:sz w:val="18"/>
                <w:szCs w:val="18"/>
              </w:rPr>
              <w:t xml:space="preserve">. </w:t>
            </w:r>
          </w:p>
          <w:p w:rsidR="00FC5688" w:rsidRDefault="00C24022" w:rsidP="002E6DE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eastAsia="Batang" w:cs="Arial"/>
                <w:sz w:val="18"/>
                <w:szCs w:val="18"/>
              </w:rPr>
            </w:pPr>
            <w:r>
              <w:rPr>
                <w:rFonts w:eastAsia="Batang" w:cs="Arial"/>
                <w:sz w:val="18"/>
                <w:szCs w:val="18"/>
              </w:rPr>
              <w:t>Que son los</w:t>
            </w:r>
            <w:r w:rsidR="00FC5688">
              <w:rPr>
                <w:rFonts w:eastAsia="Batang" w:cs="Arial"/>
                <w:sz w:val="18"/>
                <w:szCs w:val="18"/>
              </w:rPr>
              <w:t xml:space="preserve"> derechos fundamentales</w:t>
            </w:r>
          </w:p>
          <w:p w:rsidR="00C24022" w:rsidRDefault="00C24022" w:rsidP="002E6DE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eastAsia="Batang" w:cs="Arial"/>
                <w:sz w:val="18"/>
                <w:szCs w:val="18"/>
              </w:rPr>
            </w:pPr>
            <w:r>
              <w:rPr>
                <w:rFonts w:eastAsia="Batang" w:cs="Arial"/>
                <w:sz w:val="18"/>
                <w:szCs w:val="18"/>
              </w:rPr>
              <w:t xml:space="preserve"> </w:t>
            </w:r>
            <w:r w:rsidR="00FC5688">
              <w:rPr>
                <w:rFonts w:eastAsia="Batang" w:cs="Arial"/>
                <w:sz w:val="18"/>
                <w:szCs w:val="18"/>
              </w:rPr>
              <w:t xml:space="preserve">Que son los </w:t>
            </w:r>
            <w:r>
              <w:rPr>
                <w:rFonts w:eastAsia="Batang" w:cs="Arial"/>
                <w:sz w:val="18"/>
                <w:szCs w:val="18"/>
              </w:rPr>
              <w:t>DESCA</w:t>
            </w:r>
          </w:p>
          <w:p w:rsidR="002E6DEE" w:rsidRDefault="002E6DEE" w:rsidP="002E6DE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eastAsia="Batang" w:cs="Arial"/>
                <w:sz w:val="18"/>
                <w:szCs w:val="18"/>
              </w:rPr>
            </w:pPr>
            <w:r w:rsidRPr="002E6DEE">
              <w:rPr>
                <w:rFonts w:eastAsia="Batang" w:cs="Arial"/>
                <w:sz w:val="18"/>
                <w:szCs w:val="18"/>
              </w:rPr>
              <w:t>Antecedentes históricos</w:t>
            </w:r>
          </w:p>
          <w:p w:rsidR="002E6DEE" w:rsidRDefault="002E6DEE" w:rsidP="002E6DE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eastAsia="Batang" w:cs="Arial"/>
                <w:sz w:val="18"/>
                <w:szCs w:val="18"/>
              </w:rPr>
            </w:pPr>
            <w:r>
              <w:rPr>
                <w:rFonts w:eastAsia="Batang" w:cs="Arial"/>
                <w:sz w:val="18"/>
                <w:szCs w:val="18"/>
              </w:rPr>
              <w:t>Los DESC garantizados en la Constitución</w:t>
            </w:r>
          </w:p>
          <w:p w:rsidR="004542B3" w:rsidRDefault="004542B3" w:rsidP="002E6DE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eastAsia="Batang" w:cs="Arial"/>
                <w:sz w:val="18"/>
                <w:szCs w:val="18"/>
              </w:rPr>
            </w:pPr>
            <w:r>
              <w:rPr>
                <w:rFonts w:eastAsia="Batang" w:cs="Arial"/>
                <w:sz w:val="18"/>
                <w:szCs w:val="18"/>
              </w:rPr>
              <w:t>Los DESC como derechos humanos.</w:t>
            </w:r>
          </w:p>
          <w:p w:rsidR="00BD4F9F" w:rsidRDefault="00BD4F9F" w:rsidP="002E6DE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eastAsia="Batang" w:cs="Arial"/>
                <w:sz w:val="18"/>
                <w:szCs w:val="18"/>
              </w:rPr>
            </w:pPr>
            <w:r>
              <w:rPr>
                <w:rFonts w:eastAsia="Batang" w:cs="Arial"/>
                <w:sz w:val="18"/>
                <w:szCs w:val="18"/>
              </w:rPr>
              <w:t>Los DESC y el COVID-19</w:t>
            </w:r>
          </w:p>
          <w:p w:rsidR="008E49A8" w:rsidRDefault="008E49A8" w:rsidP="002E6DE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eastAsia="Batang" w:cs="Arial"/>
                <w:sz w:val="18"/>
                <w:szCs w:val="18"/>
              </w:rPr>
            </w:pPr>
            <w:r>
              <w:rPr>
                <w:rFonts w:eastAsia="Batang" w:cs="Arial"/>
                <w:sz w:val="18"/>
                <w:szCs w:val="18"/>
              </w:rPr>
              <w:t>La situación de los DESC en Guatemala</w:t>
            </w:r>
          </w:p>
          <w:p w:rsidR="00270EF9" w:rsidRDefault="00270EF9" w:rsidP="002E6DE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eastAsia="Batang" w:cs="Arial"/>
                <w:sz w:val="18"/>
                <w:szCs w:val="18"/>
              </w:rPr>
            </w:pPr>
            <w:r>
              <w:rPr>
                <w:rFonts w:eastAsia="Batang" w:cs="Arial"/>
                <w:sz w:val="18"/>
                <w:szCs w:val="18"/>
              </w:rPr>
              <w:t>Terminología aplicada en los DESC</w:t>
            </w:r>
          </w:p>
          <w:p w:rsidR="00D33933" w:rsidRPr="002E6DEE" w:rsidRDefault="00D33933" w:rsidP="002E6DE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eastAsia="Batang" w:cs="Arial"/>
                <w:sz w:val="18"/>
                <w:szCs w:val="18"/>
              </w:rPr>
            </w:pPr>
            <w:r>
              <w:rPr>
                <w:rFonts w:eastAsia="Batang" w:cs="Arial"/>
                <w:sz w:val="18"/>
                <w:szCs w:val="18"/>
              </w:rPr>
              <w:t>Los derechos Sociales</w:t>
            </w:r>
          </w:p>
        </w:tc>
        <w:tc>
          <w:tcPr>
            <w:tcW w:w="1843" w:type="dxa"/>
          </w:tcPr>
          <w:p w:rsidR="002E6DEE" w:rsidRDefault="008E49A8" w:rsidP="008E49A8">
            <w:pPr>
              <w:pStyle w:val="Prrafodelista"/>
              <w:ind w:left="35"/>
              <w:jc w:val="both"/>
              <w:rPr>
                <w:sz w:val="20"/>
                <w:szCs w:val="20"/>
              </w:rPr>
            </w:pPr>
            <w:r w:rsidRPr="00C220BE">
              <w:rPr>
                <w:sz w:val="20"/>
                <w:szCs w:val="20"/>
              </w:rPr>
              <w:t xml:space="preserve">Como estrategia de conocimiento Se realizará una lluvia de ideas, técnica grupal que permite indagar u obtener información acerca de lo que el grupo conoce sobre los DESC. </w:t>
            </w:r>
          </w:p>
          <w:p w:rsidR="00C24022" w:rsidRPr="00C220BE" w:rsidRDefault="00C24022" w:rsidP="008E49A8">
            <w:pPr>
              <w:pStyle w:val="Prrafodelista"/>
              <w:ind w:left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presentaran palabras generadoras para identificarse con los DESCA ( pobreza, </w:t>
            </w:r>
            <w:r w:rsidRPr="00C24022">
              <w:rPr>
                <w:b/>
                <w:sz w:val="20"/>
                <w:szCs w:val="20"/>
              </w:rPr>
              <w:t>obligaciones del Estado, Justiciabilidad, igualdad formal y material,</w:t>
            </w:r>
            <w:r w:rsidR="00BC78C6">
              <w:rPr>
                <w:b/>
                <w:sz w:val="20"/>
                <w:szCs w:val="20"/>
              </w:rPr>
              <w:t xml:space="preserve"> dignidad humana, políticas publicas</w:t>
            </w:r>
          </w:p>
          <w:p w:rsidR="008E49A8" w:rsidRPr="00C220BE" w:rsidRDefault="008E49A8" w:rsidP="008E49A8">
            <w:pPr>
              <w:pStyle w:val="Prrafodelista"/>
              <w:ind w:left="35"/>
              <w:jc w:val="both"/>
              <w:rPr>
                <w:sz w:val="20"/>
                <w:szCs w:val="20"/>
              </w:rPr>
            </w:pPr>
          </w:p>
          <w:p w:rsidR="008E49A8" w:rsidRDefault="008E49A8" w:rsidP="008E49A8">
            <w:pPr>
              <w:pStyle w:val="Prrafodelista"/>
              <w:ind w:left="35"/>
              <w:jc w:val="both"/>
            </w:pPr>
            <w:r w:rsidRPr="00C220BE"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3422" w:type="dxa"/>
          </w:tcPr>
          <w:p w:rsidR="00166170" w:rsidRDefault="00661F10" w:rsidP="00F10ECA">
            <w:pPr>
              <w:tabs>
                <w:tab w:val="left" w:pos="7230"/>
              </w:tabs>
              <w:jc w:val="both"/>
            </w:pPr>
            <w:r>
              <w:t xml:space="preserve">Los Derechos Económicos, Sociales y Culturales en la jurisdicción constitucional guatemalteca a XXV años de promulgación de la Constitución Política. Roberto Molina Barreto.  OPUS Magna 2011, </w:t>
            </w:r>
            <w:r w:rsidR="00DD642C">
              <w:t>Tomo II.</w:t>
            </w:r>
            <w:r>
              <w:t xml:space="preserve"> </w:t>
            </w:r>
          </w:p>
          <w:p w:rsidR="00DD642C" w:rsidRDefault="00DD642C" w:rsidP="00F10ECA">
            <w:pPr>
              <w:tabs>
                <w:tab w:val="left" w:pos="7230"/>
              </w:tabs>
              <w:jc w:val="both"/>
            </w:pPr>
            <w:r>
              <w:t>Derechos Económicos, Sociales y Culturales, su problemática internacional y situación en Guatemala.</w:t>
            </w:r>
          </w:p>
          <w:p w:rsidR="00DD642C" w:rsidRDefault="00DD642C" w:rsidP="00F10ECA">
            <w:pPr>
              <w:tabs>
                <w:tab w:val="left" w:pos="7230"/>
              </w:tabs>
              <w:jc w:val="both"/>
            </w:pPr>
            <w:r>
              <w:t>Carmen María Gutiérrez de Colmenares. OPUS Magna 2011, Tomo I</w:t>
            </w:r>
          </w:p>
          <w:p w:rsidR="00DD642C" w:rsidRPr="00707168" w:rsidRDefault="00707168" w:rsidP="00F10ECA">
            <w:pPr>
              <w:tabs>
                <w:tab w:val="left" w:pos="7230"/>
              </w:tabs>
              <w:jc w:val="both"/>
              <w:rPr>
                <w:b/>
              </w:rPr>
            </w:pPr>
            <w:r w:rsidRPr="00707168">
              <w:rPr>
                <w:b/>
              </w:rPr>
              <w:t>La vulnerabilidad en la Jurisprudencia de la corte Interamericana de Derechos Humanos</w:t>
            </w:r>
            <w:r w:rsidR="008E49A8" w:rsidRPr="00707168">
              <w:rPr>
                <w:b/>
              </w:rPr>
              <w:t>.</w:t>
            </w:r>
            <w:r w:rsidRPr="00707168">
              <w:rPr>
                <w:b/>
              </w:rPr>
              <w:t xml:space="preserve"> </w:t>
            </w:r>
            <w:proofErr w:type="spellStart"/>
            <w:r w:rsidRPr="00707168">
              <w:rPr>
                <w:b/>
              </w:rPr>
              <w:t>Rosmerlin</w:t>
            </w:r>
            <w:proofErr w:type="spellEnd"/>
            <w:r w:rsidRPr="00707168">
              <w:rPr>
                <w:b/>
              </w:rPr>
              <w:t xml:space="preserve"> </w:t>
            </w:r>
            <w:proofErr w:type="spellStart"/>
            <w:r w:rsidRPr="00707168">
              <w:rPr>
                <w:b/>
              </w:rPr>
              <w:t>Estupiñan</w:t>
            </w:r>
            <w:proofErr w:type="spellEnd"/>
            <w:r w:rsidRPr="00707168">
              <w:rPr>
                <w:b/>
              </w:rPr>
              <w:t xml:space="preserve">-Silva. </w:t>
            </w:r>
            <w:proofErr w:type="spellStart"/>
            <w:r w:rsidRPr="00707168">
              <w:rPr>
                <w:b/>
              </w:rPr>
              <w:t>Pag</w:t>
            </w:r>
            <w:proofErr w:type="spellEnd"/>
            <w:r w:rsidRPr="00707168">
              <w:rPr>
                <w:b/>
              </w:rPr>
              <w:t>. 193-231</w:t>
            </w:r>
            <w:r>
              <w:rPr>
                <w:b/>
              </w:rPr>
              <w:t xml:space="preserve"> del Libro derechos Humanos y </w:t>
            </w:r>
            <w:proofErr w:type="spellStart"/>
            <w:r>
              <w:rPr>
                <w:b/>
              </w:rPr>
              <w:t>Politicas</w:t>
            </w:r>
            <w:proofErr w:type="spellEnd"/>
            <w:r>
              <w:rPr>
                <w:b/>
              </w:rPr>
              <w:t xml:space="preserve"> Publicas del </w:t>
            </w:r>
            <w:proofErr w:type="spellStart"/>
            <w:r>
              <w:rPr>
                <w:b/>
              </w:rPr>
              <w:t>Dhes</w:t>
            </w:r>
            <w:proofErr w:type="spellEnd"/>
            <w:r>
              <w:rPr>
                <w:b/>
              </w:rPr>
              <w:t>.</w:t>
            </w:r>
          </w:p>
          <w:p w:rsidR="008E49A8" w:rsidRDefault="008E49A8" w:rsidP="00F10ECA">
            <w:pPr>
              <w:tabs>
                <w:tab w:val="left" w:pos="7230"/>
              </w:tabs>
              <w:jc w:val="both"/>
            </w:pPr>
            <w:r>
              <w:t>Notas personas sobre los DESC</w:t>
            </w:r>
          </w:p>
          <w:p w:rsidR="008E49A8" w:rsidRDefault="008E49A8" w:rsidP="00F10ECA">
            <w:pPr>
              <w:tabs>
                <w:tab w:val="left" w:pos="7230"/>
              </w:tabs>
              <w:jc w:val="both"/>
            </w:pPr>
            <w:r>
              <w:t>Carlos Ignacio Massini pág. 133-154</w:t>
            </w:r>
          </w:p>
          <w:p w:rsidR="008E49A8" w:rsidRDefault="008E49A8" w:rsidP="00F10ECA">
            <w:pPr>
              <w:tabs>
                <w:tab w:val="left" w:pos="7230"/>
              </w:tabs>
              <w:jc w:val="both"/>
            </w:pPr>
            <w:r>
              <w:t>José Campillo Sainz. Derechos fundamentales de la persona humana. Derechos sociales (Págs. 47-87)</w:t>
            </w:r>
          </w:p>
        </w:tc>
        <w:tc>
          <w:tcPr>
            <w:tcW w:w="1220" w:type="dxa"/>
          </w:tcPr>
          <w:p w:rsidR="002E6DEE" w:rsidRDefault="008E49A8" w:rsidP="008227E2">
            <w:pPr>
              <w:tabs>
                <w:tab w:val="left" w:pos="7230"/>
              </w:tabs>
            </w:pPr>
            <w:r>
              <w:t>3 períodos</w:t>
            </w:r>
          </w:p>
        </w:tc>
      </w:tr>
      <w:tr w:rsidR="005D403E" w:rsidTr="00DD642C">
        <w:trPr>
          <w:trHeight w:val="1339"/>
        </w:trPr>
        <w:tc>
          <w:tcPr>
            <w:tcW w:w="1838" w:type="dxa"/>
          </w:tcPr>
          <w:p w:rsidR="005D403E" w:rsidRDefault="00CC6E6A" w:rsidP="004542B3">
            <w:pPr>
              <w:tabs>
                <w:tab w:val="left" w:pos="7230"/>
              </w:tabs>
            </w:pPr>
            <w:r>
              <w:t xml:space="preserve">Que las y los </w:t>
            </w:r>
            <w:r w:rsidR="004542B3">
              <w:t>maestrándos</w:t>
            </w:r>
            <w:r>
              <w:t xml:space="preserve"> identifiquen el marco convencional de protección y puedan aplicarlos en los casos que se aborden.</w:t>
            </w:r>
          </w:p>
        </w:tc>
        <w:tc>
          <w:tcPr>
            <w:tcW w:w="2693" w:type="dxa"/>
          </w:tcPr>
          <w:p w:rsidR="00BA6F80" w:rsidRPr="00825DF0" w:rsidRDefault="00BA6F80" w:rsidP="00AC5B8E">
            <w:pPr>
              <w:pStyle w:val="Prrafodelista"/>
              <w:ind w:left="212"/>
              <w:jc w:val="both"/>
              <w:rPr>
                <w:rFonts w:eastAsia="Batang" w:cs="Arial"/>
                <w:b/>
                <w:sz w:val="18"/>
                <w:szCs w:val="18"/>
              </w:rPr>
            </w:pPr>
          </w:p>
          <w:p w:rsidR="009864B7" w:rsidRPr="00985078" w:rsidRDefault="009864B7" w:rsidP="00270EF9">
            <w:pPr>
              <w:pStyle w:val="Prrafodelista"/>
              <w:ind w:left="37"/>
              <w:jc w:val="both"/>
              <w:rPr>
                <w:b/>
                <w:sz w:val="18"/>
                <w:szCs w:val="18"/>
              </w:rPr>
            </w:pPr>
            <w:r w:rsidRPr="00981389">
              <w:rPr>
                <w:b/>
                <w:sz w:val="20"/>
                <w:szCs w:val="20"/>
              </w:rPr>
              <w:t>Ámbitos de protección (comités, relatorías) y mecanismos de garantía</w:t>
            </w:r>
            <w:r w:rsidRPr="00985078">
              <w:rPr>
                <w:b/>
                <w:sz w:val="18"/>
                <w:szCs w:val="18"/>
              </w:rPr>
              <w:t>.</w:t>
            </w:r>
          </w:p>
          <w:p w:rsidR="009864B7" w:rsidRPr="009864B7" w:rsidRDefault="009864B7" w:rsidP="00270EF9">
            <w:pPr>
              <w:pStyle w:val="Prrafodelista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9864B7">
              <w:rPr>
                <w:sz w:val="18"/>
                <w:szCs w:val="18"/>
              </w:rPr>
              <w:t>Sistema internacional de naciones unidas.</w:t>
            </w:r>
          </w:p>
          <w:p w:rsidR="009864B7" w:rsidRDefault="009864B7" w:rsidP="00270EF9">
            <w:pPr>
              <w:pStyle w:val="Prrafodelista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9864B7">
              <w:rPr>
                <w:sz w:val="18"/>
                <w:szCs w:val="18"/>
              </w:rPr>
              <w:t xml:space="preserve">Sistema regional </w:t>
            </w:r>
            <w:r w:rsidR="004542B3" w:rsidRPr="009864B7">
              <w:rPr>
                <w:sz w:val="18"/>
                <w:szCs w:val="18"/>
              </w:rPr>
              <w:t>interamericano</w:t>
            </w:r>
            <w:r w:rsidR="00D33933">
              <w:rPr>
                <w:sz w:val="18"/>
                <w:szCs w:val="18"/>
              </w:rPr>
              <w:t>.</w:t>
            </w:r>
          </w:p>
          <w:p w:rsidR="00D33933" w:rsidRPr="009864B7" w:rsidRDefault="00D33933" w:rsidP="00D33933">
            <w:pPr>
              <w:pStyle w:val="Prrafodelista"/>
              <w:ind w:left="39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Convención Americana de Derechos Humanos, Carta de la OEA, Pacto de los DESC, Protocolo de San Salvador.</w:t>
            </w:r>
          </w:p>
          <w:p w:rsidR="009864B7" w:rsidRPr="00270EF9" w:rsidRDefault="009864B7" w:rsidP="00270EF9">
            <w:pPr>
              <w:pStyle w:val="Prrafodelista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270EF9">
              <w:rPr>
                <w:sz w:val="18"/>
                <w:szCs w:val="18"/>
              </w:rPr>
              <w:t xml:space="preserve">Sistema estatal guatemalteco: </w:t>
            </w:r>
            <w:r w:rsidR="00270EF9" w:rsidRPr="00270EF9">
              <w:rPr>
                <w:sz w:val="18"/>
                <w:szCs w:val="18"/>
              </w:rPr>
              <w:t xml:space="preserve">  </w:t>
            </w:r>
            <w:r w:rsidRPr="00270EF9">
              <w:rPr>
                <w:sz w:val="18"/>
                <w:szCs w:val="18"/>
              </w:rPr>
              <w:t xml:space="preserve">PDH, Corte de Constitucionalidad, </w:t>
            </w:r>
          </w:p>
          <w:p w:rsidR="009864B7" w:rsidRPr="00270EF9" w:rsidRDefault="009864B7" w:rsidP="00270EF9">
            <w:pPr>
              <w:pStyle w:val="Prrafodelista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270EF9">
              <w:rPr>
                <w:sz w:val="18"/>
                <w:szCs w:val="18"/>
              </w:rPr>
              <w:t xml:space="preserve">Normativa: CPRG, Ley de Procurador de los Derechos Humanos, Ley de Amparo, exhibición personal e inconstitucionalidad. </w:t>
            </w:r>
          </w:p>
          <w:p w:rsidR="005D403E" w:rsidRDefault="005D403E" w:rsidP="00484478">
            <w:pPr>
              <w:jc w:val="both"/>
            </w:pPr>
          </w:p>
        </w:tc>
        <w:tc>
          <w:tcPr>
            <w:tcW w:w="1843" w:type="dxa"/>
          </w:tcPr>
          <w:p w:rsidR="005D403E" w:rsidRDefault="005D403E" w:rsidP="00783391">
            <w:pPr>
              <w:tabs>
                <w:tab w:val="left" w:pos="7230"/>
              </w:tabs>
            </w:pPr>
          </w:p>
          <w:p w:rsidR="008D6C5C" w:rsidRDefault="008D6C5C" w:rsidP="00270EF9">
            <w:pPr>
              <w:tabs>
                <w:tab w:val="left" w:pos="7230"/>
              </w:tabs>
            </w:pPr>
            <w:r>
              <w:t>Ejercicio vivencial previo</w:t>
            </w:r>
            <w:r w:rsidR="00270EF9">
              <w:t xml:space="preserve"> </w:t>
            </w:r>
          </w:p>
          <w:p w:rsidR="00AC5B8E" w:rsidRDefault="008D6C5C" w:rsidP="008D6C5C">
            <w:pPr>
              <w:tabs>
                <w:tab w:val="left" w:pos="7230"/>
              </w:tabs>
            </w:pPr>
            <w:r>
              <w:t xml:space="preserve">Desarrollo del tema </w:t>
            </w:r>
            <w:r w:rsidR="00AC5B8E">
              <w:t>por parte de la docente</w:t>
            </w:r>
            <w:r w:rsidR="00270EF9">
              <w:t>.</w:t>
            </w:r>
          </w:p>
          <w:p w:rsidR="004D58A6" w:rsidRDefault="004D58A6" w:rsidP="00270EF9">
            <w:pPr>
              <w:pStyle w:val="Prrafodelista"/>
              <w:jc w:val="both"/>
            </w:pPr>
          </w:p>
          <w:p w:rsidR="00270EF9" w:rsidRPr="008D6C5C" w:rsidRDefault="00270EF9" w:rsidP="00270EF9">
            <w:pPr>
              <w:pStyle w:val="Prrafodelista"/>
              <w:ind w:left="35"/>
              <w:rPr>
                <w:b/>
              </w:rPr>
            </w:pPr>
            <w:r w:rsidRPr="008D6C5C">
              <w:rPr>
                <w:b/>
              </w:rPr>
              <w:t>Realizar una línea del  tiempo como trabajo a entregar.</w:t>
            </w:r>
          </w:p>
        </w:tc>
        <w:tc>
          <w:tcPr>
            <w:tcW w:w="3422" w:type="dxa"/>
          </w:tcPr>
          <w:p w:rsidR="00AE1C23" w:rsidRDefault="00A941FC" w:rsidP="00A941FC">
            <w:pPr>
              <w:tabs>
                <w:tab w:val="left" w:pos="7230"/>
              </w:tabs>
              <w:jc w:val="both"/>
            </w:pPr>
            <w:r w:rsidRPr="00A941FC">
              <w:t>Legislación internacional de protección de derechos económicos.</w:t>
            </w:r>
          </w:p>
          <w:p w:rsidR="00A941FC" w:rsidRDefault="00A941FC" w:rsidP="00A941FC">
            <w:pPr>
              <w:tabs>
                <w:tab w:val="left" w:pos="7230"/>
              </w:tabs>
              <w:jc w:val="both"/>
            </w:pPr>
            <w:r>
              <w:t>Ley de</w:t>
            </w:r>
            <w:r w:rsidR="00C220BE">
              <w:t>l</w:t>
            </w:r>
            <w:r>
              <w:t xml:space="preserve"> </w:t>
            </w:r>
            <w:r w:rsidR="004542B3">
              <w:t>P</w:t>
            </w:r>
            <w:r>
              <w:t xml:space="preserve">rocurador de </w:t>
            </w:r>
            <w:r w:rsidR="004542B3">
              <w:t>Derechos H</w:t>
            </w:r>
            <w:r>
              <w:t>umanos</w:t>
            </w:r>
          </w:p>
          <w:p w:rsidR="00FB74B9" w:rsidRDefault="00FB74B9" w:rsidP="00A941FC">
            <w:pPr>
              <w:tabs>
                <w:tab w:val="left" w:pos="7230"/>
              </w:tabs>
              <w:jc w:val="both"/>
            </w:pPr>
            <w:r>
              <w:t xml:space="preserve">Constitución Política de la República de Guatemala con notas de jurisprudencia. </w:t>
            </w:r>
          </w:p>
          <w:p w:rsidR="00A941FC" w:rsidRPr="00A941FC" w:rsidRDefault="00A941FC" w:rsidP="00C220BE">
            <w:pPr>
              <w:tabs>
                <w:tab w:val="left" w:pos="7230"/>
              </w:tabs>
              <w:jc w:val="both"/>
            </w:pPr>
          </w:p>
        </w:tc>
        <w:tc>
          <w:tcPr>
            <w:tcW w:w="1220" w:type="dxa"/>
          </w:tcPr>
          <w:p w:rsidR="005D403E" w:rsidRDefault="00A941FC" w:rsidP="00783391">
            <w:pPr>
              <w:tabs>
                <w:tab w:val="left" w:pos="7230"/>
              </w:tabs>
            </w:pPr>
            <w:r>
              <w:t>4</w:t>
            </w:r>
            <w:r w:rsidR="007B5FA6">
              <w:t xml:space="preserve"> periodos</w:t>
            </w:r>
          </w:p>
        </w:tc>
      </w:tr>
      <w:tr w:rsidR="005D403E" w:rsidTr="00DD642C">
        <w:trPr>
          <w:trHeight w:val="1265"/>
        </w:trPr>
        <w:tc>
          <w:tcPr>
            <w:tcW w:w="1838" w:type="dxa"/>
          </w:tcPr>
          <w:p w:rsidR="005D403E" w:rsidRDefault="00EB482D" w:rsidP="00CC6E6A">
            <w:pPr>
              <w:tabs>
                <w:tab w:val="left" w:pos="7230"/>
              </w:tabs>
            </w:pPr>
            <w:r>
              <w:t xml:space="preserve">Proporcionar herramientas </w:t>
            </w:r>
            <w:r w:rsidR="00CC6E6A">
              <w:t>jurídicas en materia de derechos humanos de los procesos político-jurídicos</w:t>
            </w:r>
            <w:r>
              <w:t xml:space="preserve"> que se han aportado en la creación de las </w:t>
            </w:r>
            <w:r>
              <w:lastRenderedPageBreak/>
              <w:t xml:space="preserve">normativas en las sociedades. </w:t>
            </w:r>
          </w:p>
        </w:tc>
        <w:tc>
          <w:tcPr>
            <w:tcW w:w="2693" w:type="dxa"/>
          </w:tcPr>
          <w:p w:rsidR="005D403E" w:rsidRPr="00981389" w:rsidRDefault="007B5FA6" w:rsidP="00270EF9">
            <w:pPr>
              <w:pStyle w:val="Prrafodelista"/>
              <w:ind w:left="6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985078" w:rsidRPr="00981389">
              <w:rPr>
                <w:b/>
                <w:sz w:val="20"/>
                <w:szCs w:val="20"/>
              </w:rPr>
              <w:t>Obligación de los Estados en relación a los DESC</w:t>
            </w:r>
            <w:r w:rsidRPr="00981389">
              <w:rPr>
                <w:b/>
                <w:sz w:val="20"/>
                <w:szCs w:val="20"/>
              </w:rPr>
              <w:t>:</w:t>
            </w:r>
          </w:p>
          <w:p w:rsidR="00985078" w:rsidRDefault="00985078" w:rsidP="00985078">
            <w:pPr>
              <w:pStyle w:val="Prrafodelista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Obligación de respetar, proteger y cumplir.</w:t>
            </w:r>
          </w:p>
          <w:p w:rsidR="00985078" w:rsidRDefault="00985078" w:rsidP="00985078">
            <w:pPr>
              <w:pStyle w:val="Prrafodelista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progresividad en los DESC.</w:t>
            </w:r>
          </w:p>
          <w:p w:rsidR="00985078" w:rsidRDefault="00985078" w:rsidP="00985078">
            <w:pPr>
              <w:pStyle w:val="Prrafodelista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Obligación de garantizar niveles esenciales de satisfacción </w:t>
            </w:r>
            <w:r w:rsidR="00D33933">
              <w:rPr>
                <w:sz w:val="18"/>
                <w:szCs w:val="18"/>
              </w:rPr>
              <w:t>de los</w:t>
            </w:r>
            <w:r>
              <w:rPr>
                <w:sz w:val="18"/>
                <w:szCs w:val="18"/>
              </w:rPr>
              <w:t xml:space="preserve"> DESC.</w:t>
            </w:r>
          </w:p>
          <w:p w:rsidR="00270EF9" w:rsidRDefault="00270EF9" w:rsidP="00270EF9">
            <w:pPr>
              <w:rPr>
                <w:sz w:val="18"/>
                <w:szCs w:val="18"/>
              </w:rPr>
            </w:pPr>
          </w:p>
          <w:p w:rsidR="00985078" w:rsidRPr="00BA1FFC" w:rsidRDefault="00BA1FFC" w:rsidP="00BA1FFC">
            <w:pPr>
              <w:rPr>
                <w:sz w:val="18"/>
                <w:szCs w:val="18"/>
              </w:rPr>
            </w:pPr>
            <w:r w:rsidRPr="00981389">
              <w:rPr>
                <w:b/>
                <w:sz w:val="20"/>
                <w:szCs w:val="20"/>
              </w:rPr>
              <w:lastRenderedPageBreak/>
              <w:t>J</w:t>
            </w:r>
            <w:r w:rsidR="00985078" w:rsidRPr="00981389">
              <w:rPr>
                <w:b/>
                <w:sz w:val="20"/>
                <w:szCs w:val="20"/>
              </w:rPr>
              <w:t>usticiabilidad de los Desc</w:t>
            </w:r>
            <w:r w:rsidR="00985078" w:rsidRPr="00BA1FFC">
              <w:rPr>
                <w:sz w:val="18"/>
                <w:szCs w:val="18"/>
              </w:rPr>
              <w:t xml:space="preserve">. </w:t>
            </w:r>
          </w:p>
          <w:p w:rsidR="00484478" w:rsidRDefault="00484478" w:rsidP="00985078">
            <w:pPr>
              <w:pStyle w:val="Prrafodelista"/>
              <w:numPr>
                <w:ilvl w:val="0"/>
                <w:numId w:val="23"/>
              </w:numPr>
              <w:ind w:left="23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 DERECHOS SON JUSTICIABLES</w:t>
            </w:r>
          </w:p>
          <w:p w:rsidR="00D33933" w:rsidRDefault="00D33933" w:rsidP="00985078">
            <w:pPr>
              <w:pStyle w:val="Prrafodelista"/>
              <w:numPr>
                <w:ilvl w:val="0"/>
                <w:numId w:val="23"/>
              </w:numPr>
              <w:ind w:left="23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Justiciabilidad directa. Art. 26,29 Convención Americana</w:t>
            </w:r>
          </w:p>
          <w:p w:rsidR="00BA1FFC" w:rsidRDefault="00BA1FFC" w:rsidP="00985078">
            <w:pPr>
              <w:pStyle w:val="Prrafodelista"/>
              <w:numPr>
                <w:ilvl w:val="0"/>
                <w:numId w:val="23"/>
              </w:numPr>
              <w:ind w:left="23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Exigibilidad de los DESC en Guatemala</w:t>
            </w:r>
          </w:p>
          <w:p w:rsidR="00D33933" w:rsidRDefault="00D33933" w:rsidP="00985078">
            <w:pPr>
              <w:pStyle w:val="Prrafodelista"/>
              <w:numPr>
                <w:ilvl w:val="0"/>
                <w:numId w:val="23"/>
              </w:numPr>
              <w:ind w:left="23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Principio de no regresividad </w:t>
            </w:r>
          </w:p>
          <w:p w:rsidR="00D33933" w:rsidRDefault="00D33933" w:rsidP="00985078">
            <w:pPr>
              <w:pStyle w:val="Prrafodelista"/>
              <w:numPr>
                <w:ilvl w:val="0"/>
                <w:numId w:val="23"/>
              </w:numPr>
              <w:ind w:left="23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Jurisprudencia y los métodos de interpretación de la Corte Interamericana de Derechos humanos sobre DESC (evolutiva, literal, sistemática y teleológica) </w:t>
            </w:r>
          </w:p>
          <w:p w:rsidR="00D33933" w:rsidRDefault="00D33933" w:rsidP="00D33933">
            <w:pPr>
              <w:pStyle w:val="Prrafodelista"/>
              <w:ind w:left="232"/>
              <w:rPr>
                <w:sz w:val="18"/>
                <w:szCs w:val="18"/>
              </w:rPr>
            </w:pPr>
          </w:p>
          <w:p w:rsidR="00BA1FFC" w:rsidRPr="00985078" w:rsidRDefault="00BA1FFC" w:rsidP="00985078">
            <w:pPr>
              <w:pStyle w:val="Prrafodelista"/>
              <w:numPr>
                <w:ilvl w:val="0"/>
                <w:numId w:val="23"/>
              </w:numPr>
              <w:ind w:left="23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Fortalezas y debilidades</w:t>
            </w:r>
          </w:p>
          <w:p w:rsidR="00985078" w:rsidRDefault="00985078" w:rsidP="007B5FA6">
            <w:pPr>
              <w:pStyle w:val="Prrafodelista"/>
              <w:numPr>
                <w:ilvl w:val="0"/>
                <w:numId w:val="18"/>
              </w:numPr>
              <w:ind w:left="61" w:hanging="430"/>
              <w:rPr>
                <w:sz w:val="18"/>
                <w:szCs w:val="18"/>
              </w:rPr>
            </w:pPr>
          </w:p>
          <w:p w:rsidR="007B5FA6" w:rsidRPr="007B5FA6" w:rsidRDefault="007B5FA6" w:rsidP="00985078">
            <w:pPr>
              <w:pStyle w:val="Prrafodelista"/>
              <w:numPr>
                <w:ilvl w:val="0"/>
                <w:numId w:val="18"/>
              </w:numPr>
              <w:ind w:left="345" w:hanging="7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134012" w:rsidRDefault="00134012" w:rsidP="008D6C5C">
            <w:pPr>
              <w:pStyle w:val="Prrafodelista"/>
              <w:tabs>
                <w:tab w:val="left" w:pos="7230"/>
              </w:tabs>
              <w:ind w:left="601"/>
            </w:pPr>
            <w:r>
              <w:lastRenderedPageBreak/>
              <w:t xml:space="preserve"> </w:t>
            </w:r>
          </w:p>
          <w:p w:rsidR="007B5FA6" w:rsidRDefault="007B5FA6" w:rsidP="005F7C60">
            <w:pPr>
              <w:pStyle w:val="Prrafodelista"/>
              <w:numPr>
                <w:ilvl w:val="0"/>
                <w:numId w:val="19"/>
              </w:numPr>
              <w:tabs>
                <w:tab w:val="left" w:pos="7230"/>
              </w:tabs>
              <w:ind w:left="572" w:hanging="515"/>
            </w:pPr>
            <w:r>
              <w:t>Explicación de la docente</w:t>
            </w:r>
          </w:p>
          <w:p w:rsidR="007B5FA6" w:rsidRDefault="00AE1C23" w:rsidP="006F22E1">
            <w:pPr>
              <w:pStyle w:val="Prrafodelista"/>
              <w:numPr>
                <w:ilvl w:val="0"/>
                <w:numId w:val="19"/>
              </w:numPr>
              <w:tabs>
                <w:tab w:val="left" w:pos="7230"/>
              </w:tabs>
              <w:ind w:left="601" w:hanging="686"/>
            </w:pPr>
            <w:r>
              <w:t xml:space="preserve">Presentación de las y los cursantes sobre los temas de </w:t>
            </w:r>
            <w:r>
              <w:lastRenderedPageBreak/>
              <w:t>la unidad.</w:t>
            </w:r>
          </w:p>
          <w:p w:rsidR="004D58A6" w:rsidRDefault="00BA1FFC" w:rsidP="00BA1FFC">
            <w:pPr>
              <w:ind w:left="35"/>
              <w:jc w:val="both"/>
            </w:pPr>
            <w:r>
              <w:t xml:space="preserve">Elaborar un cuadro sinóptico </w:t>
            </w:r>
            <w:r w:rsidR="00981389">
              <w:t>(diagrama</w:t>
            </w:r>
            <w:r>
              <w:t xml:space="preserve"> que permite organizar y clasificar de manera lógica los conceptos y sus relaciones.  Se organiza de lo general a lo particular, utiliza llaves para clasificar la información</w:t>
            </w:r>
          </w:p>
        </w:tc>
        <w:tc>
          <w:tcPr>
            <w:tcW w:w="3422" w:type="dxa"/>
          </w:tcPr>
          <w:p w:rsidR="005D403E" w:rsidRDefault="00A941FC" w:rsidP="00C220BE">
            <w:pPr>
              <w:tabs>
                <w:tab w:val="left" w:pos="7230"/>
              </w:tabs>
              <w:jc w:val="both"/>
            </w:pPr>
            <w:r w:rsidRPr="00C220BE">
              <w:rPr>
                <w:b/>
              </w:rPr>
              <w:lastRenderedPageBreak/>
              <w:t>Miguel Carbonell y Eduardo Ferrer</w:t>
            </w:r>
            <w:r>
              <w:t xml:space="preserve">.  Los derechos sociales y su justiciabilidad directa. </w:t>
            </w:r>
          </w:p>
          <w:p w:rsidR="00A941FC" w:rsidRDefault="00A941FC" w:rsidP="00C220BE">
            <w:pPr>
              <w:tabs>
                <w:tab w:val="left" w:pos="7230"/>
              </w:tabs>
              <w:jc w:val="both"/>
            </w:pPr>
            <w:r>
              <w:t>Último Informe alternativo de los DESC.</w:t>
            </w:r>
          </w:p>
          <w:p w:rsidR="00BA1FFC" w:rsidRDefault="00BA1FFC" w:rsidP="00783391">
            <w:pPr>
              <w:tabs>
                <w:tab w:val="left" w:pos="7230"/>
              </w:tabs>
            </w:pPr>
          </w:p>
          <w:p w:rsidR="00BA1FFC" w:rsidRDefault="00BA1FFC" w:rsidP="00783391">
            <w:pPr>
              <w:tabs>
                <w:tab w:val="left" w:pos="7230"/>
              </w:tabs>
            </w:pPr>
          </w:p>
          <w:p w:rsidR="00BA1FFC" w:rsidRDefault="00BA1FFC" w:rsidP="00783391">
            <w:pPr>
              <w:tabs>
                <w:tab w:val="left" w:pos="7230"/>
              </w:tabs>
            </w:pPr>
          </w:p>
          <w:p w:rsidR="00BA1FFC" w:rsidRDefault="00BA1FFC" w:rsidP="00783391">
            <w:pPr>
              <w:tabs>
                <w:tab w:val="left" w:pos="7230"/>
              </w:tabs>
            </w:pPr>
          </w:p>
          <w:p w:rsidR="00BA1FFC" w:rsidRDefault="00BA1FFC" w:rsidP="00783391">
            <w:pPr>
              <w:tabs>
                <w:tab w:val="left" w:pos="7230"/>
              </w:tabs>
            </w:pPr>
            <w:r>
              <w:t xml:space="preserve">Voto concurrente del Juez </w:t>
            </w:r>
            <w:r>
              <w:lastRenderedPageBreak/>
              <w:t xml:space="preserve">Humberto Antonio Sierra Porto, Sentencia de la Corte Interamericana de Derechos Humanos, en el caso González </w:t>
            </w:r>
            <w:proofErr w:type="spellStart"/>
            <w:r>
              <w:t>LLuy</w:t>
            </w:r>
            <w:proofErr w:type="spellEnd"/>
            <w:r>
              <w:t xml:space="preserve"> y otros Vs Ecuador. </w:t>
            </w:r>
          </w:p>
          <w:p w:rsidR="00BA1FFC" w:rsidRDefault="00BA1FFC" w:rsidP="00783391">
            <w:pPr>
              <w:tabs>
                <w:tab w:val="left" w:pos="7230"/>
              </w:tabs>
            </w:pPr>
          </w:p>
          <w:p w:rsidR="00BA1FFC" w:rsidRDefault="00BA1FFC" w:rsidP="00783391">
            <w:pPr>
              <w:tabs>
                <w:tab w:val="left" w:pos="7230"/>
              </w:tabs>
            </w:pPr>
            <w:r>
              <w:t xml:space="preserve">Exigibilidad </w:t>
            </w:r>
            <w:r w:rsidR="006F22E1">
              <w:t>de los DESC. Miguel Carbonell.</w:t>
            </w:r>
          </w:p>
        </w:tc>
        <w:tc>
          <w:tcPr>
            <w:tcW w:w="1220" w:type="dxa"/>
          </w:tcPr>
          <w:p w:rsidR="005D403E" w:rsidRDefault="00A941FC" w:rsidP="00AE1C23">
            <w:pPr>
              <w:tabs>
                <w:tab w:val="left" w:pos="7230"/>
              </w:tabs>
            </w:pPr>
            <w:r>
              <w:lastRenderedPageBreak/>
              <w:t>4</w:t>
            </w:r>
            <w:r w:rsidR="00AE1C23">
              <w:t xml:space="preserve"> períodos</w:t>
            </w:r>
          </w:p>
        </w:tc>
      </w:tr>
      <w:tr w:rsidR="005D403E" w:rsidTr="00DD642C">
        <w:trPr>
          <w:trHeight w:val="1413"/>
        </w:trPr>
        <w:tc>
          <w:tcPr>
            <w:tcW w:w="1838" w:type="dxa"/>
          </w:tcPr>
          <w:p w:rsidR="005D403E" w:rsidRDefault="00EB482D" w:rsidP="00783391">
            <w:pPr>
              <w:tabs>
                <w:tab w:val="left" w:pos="7230"/>
              </w:tabs>
            </w:pPr>
            <w:r>
              <w:lastRenderedPageBreak/>
              <w:t>Proporcionar elementos de análisis y debate para identificar cual es el sistema de protección constitucional que plantea el Estado.</w:t>
            </w:r>
          </w:p>
        </w:tc>
        <w:tc>
          <w:tcPr>
            <w:tcW w:w="2693" w:type="dxa"/>
          </w:tcPr>
          <w:p w:rsidR="00981389" w:rsidRDefault="00981389" w:rsidP="00783391">
            <w:pPr>
              <w:jc w:val="center"/>
              <w:rPr>
                <w:rFonts w:eastAsia="Batang" w:cs="Arial"/>
                <w:b/>
                <w:sz w:val="18"/>
                <w:szCs w:val="18"/>
              </w:rPr>
            </w:pPr>
          </w:p>
          <w:p w:rsidR="00981389" w:rsidRPr="00981389" w:rsidRDefault="008D6C5C" w:rsidP="0098138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Análisis de DESC  con </w:t>
            </w:r>
            <w:r w:rsidR="00981389" w:rsidRPr="00981389">
              <w:rPr>
                <w:b/>
                <w:sz w:val="20"/>
                <w:szCs w:val="20"/>
              </w:rPr>
              <w:t>Jurisprudencia de la Corte de Constitucionalidad en materia de los DESC</w:t>
            </w:r>
          </w:p>
          <w:p w:rsidR="00981389" w:rsidRDefault="00981389" w:rsidP="00783391">
            <w:pPr>
              <w:jc w:val="center"/>
              <w:rPr>
                <w:rFonts w:eastAsia="Batang" w:cs="Arial"/>
                <w:b/>
                <w:sz w:val="18"/>
                <w:szCs w:val="18"/>
              </w:rPr>
            </w:pPr>
          </w:p>
          <w:p w:rsidR="00981389" w:rsidRPr="001D344D" w:rsidRDefault="00981389" w:rsidP="00783391">
            <w:pPr>
              <w:jc w:val="center"/>
              <w:rPr>
                <w:rFonts w:eastAsia="Batang" w:cs="Arial"/>
                <w:b/>
                <w:sz w:val="18"/>
                <w:szCs w:val="18"/>
              </w:rPr>
            </w:pPr>
          </w:p>
          <w:p w:rsidR="00F451D1" w:rsidRDefault="00F451D1" w:rsidP="00F451D1">
            <w:pPr>
              <w:pStyle w:val="Prrafodelista"/>
              <w:numPr>
                <w:ilvl w:val="0"/>
                <w:numId w:val="25"/>
              </w:numPr>
              <w:ind w:left="515" w:hanging="283"/>
              <w:jc w:val="both"/>
            </w:pPr>
            <w:r>
              <w:t>Derecho a la salud-alimentación</w:t>
            </w:r>
          </w:p>
          <w:p w:rsidR="00981389" w:rsidRDefault="00F451D1" w:rsidP="00F451D1">
            <w:pPr>
              <w:pStyle w:val="Prrafodelista"/>
              <w:numPr>
                <w:ilvl w:val="0"/>
                <w:numId w:val="25"/>
              </w:numPr>
              <w:ind w:left="515" w:hanging="283"/>
              <w:jc w:val="both"/>
            </w:pPr>
            <w:r>
              <w:t xml:space="preserve">Derecho al </w:t>
            </w:r>
            <w:r w:rsidR="00981389">
              <w:t>trabajo honesto</w:t>
            </w:r>
          </w:p>
          <w:p w:rsidR="00F451D1" w:rsidRDefault="00981389" w:rsidP="00F451D1">
            <w:pPr>
              <w:pStyle w:val="Prrafodelista"/>
              <w:numPr>
                <w:ilvl w:val="0"/>
                <w:numId w:val="25"/>
              </w:numPr>
              <w:ind w:left="515" w:hanging="283"/>
              <w:jc w:val="both"/>
            </w:pPr>
            <w:r>
              <w:t>Derecho a</w:t>
            </w:r>
            <w:r w:rsidR="00D33933">
              <w:t xml:space="preserve"> la vivienda y al</w:t>
            </w:r>
            <w:r>
              <w:t xml:space="preserve"> </w:t>
            </w:r>
            <w:r w:rsidR="00F451D1">
              <w:t>agua</w:t>
            </w:r>
          </w:p>
          <w:p w:rsidR="00F451D1" w:rsidRDefault="00F451D1" w:rsidP="00F451D1">
            <w:pPr>
              <w:pStyle w:val="Prrafodelista"/>
              <w:numPr>
                <w:ilvl w:val="0"/>
                <w:numId w:val="25"/>
              </w:numPr>
              <w:ind w:left="515" w:hanging="283"/>
              <w:jc w:val="both"/>
            </w:pPr>
            <w:r>
              <w:t>Derecho a la educación</w:t>
            </w:r>
          </w:p>
          <w:p w:rsidR="00F451D1" w:rsidRDefault="00F451D1" w:rsidP="00F451D1">
            <w:pPr>
              <w:pStyle w:val="Prrafodelista"/>
              <w:numPr>
                <w:ilvl w:val="0"/>
                <w:numId w:val="25"/>
              </w:numPr>
              <w:ind w:left="515" w:hanging="283"/>
              <w:jc w:val="both"/>
            </w:pPr>
            <w:r>
              <w:t>Derecho a la seguridad social</w:t>
            </w:r>
          </w:p>
          <w:p w:rsidR="00F451D1" w:rsidRDefault="00F451D1" w:rsidP="00F451D1">
            <w:pPr>
              <w:pStyle w:val="Prrafodelista"/>
              <w:numPr>
                <w:ilvl w:val="0"/>
                <w:numId w:val="25"/>
              </w:numPr>
              <w:ind w:left="515" w:hanging="283"/>
              <w:jc w:val="both"/>
            </w:pPr>
            <w:r>
              <w:t>Derecho a la recreación.</w:t>
            </w:r>
          </w:p>
          <w:p w:rsidR="00F451D1" w:rsidRDefault="00F451D1" w:rsidP="00F451D1">
            <w:pPr>
              <w:pStyle w:val="Prrafodelista"/>
              <w:jc w:val="both"/>
            </w:pPr>
          </w:p>
          <w:p w:rsidR="00BD4F9F" w:rsidRDefault="00BD4F9F" w:rsidP="00BD4F9F">
            <w:pPr>
              <w:pStyle w:val="Prrafodelista"/>
              <w:ind w:left="176"/>
              <w:jc w:val="both"/>
            </w:pPr>
            <w:r>
              <w:t>Integrar en cada uno de estos derechos la situación de la Pandemia COVID-19.</w:t>
            </w:r>
          </w:p>
        </w:tc>
        <w:tc>
          <w:tcPr>
            <w:tcW w:w="1843" w:type="dxa"/>
          </w:tcPr>
          <w:p w:rsidR="00EB482D" w:rsidRDefault="006F22E1" w:rsidP="00783391">
            <w:pPr>
              <w:tabs>
                <w:tab w:val="left" w:pos="7230"/>
              </w:tabs>
            </w:pPr>
            <w:r>
              <w:t>1. preguntas</w:t>
            </w:r>
            <w:r w:rsidR="00981389">
              <w:t xml:space="preserve"> </w:t>
            </w:r>
            <w:r w:rsidR="00B1186D">
              <w:t xml:space="preserve">guía (visualizar el tema por medio de una serie de preguntas que dan una respuesta especifica) Las preguntas se enmarcan en; </w:t>
            </w:r>
            <w:r w:rsidR="00B1186D" w:rsidRPr="00B1186D">
              <w:rPr>
                <w:b/>
              </w:rPr>
              <w:t>qué, cómo, donde, por qué</w:t>
            </w:r>
            <w:r w:rsidR="00B1186D">
              <w:t xml:space="preserve">. </w:t>
            </w:r>
          </w:p>
          <w:p w:rsidR="00EB482D" w:rsidRDefault="00B1186D" w:rsidP="00B1186D">
            <w:pPr>
              <w:tabs>
                <w:tab w:val="left" w:pos="7230"/>
              </w:tabs>
              <w:ind w:left="35"/>
            </w:pPr>
            <w:r>
              <w:t xml:space="preserve">2. </w:t>
            </w:r>
            <w:r w:rsidR="00EB482D">
              <w:t xml:space="preserve"> presentación de las y los cursantes de los temas asignados en la unidad y debate del grupo.</w:t>
            </w:r>
          </w:p>
          <w:p w:rsidR="00F451D1" w:rsidRDefault="00B1186D" w:rsidP="00B1186D">
            <w:pPr>
              <w:tabs>
                <w:tab w:val="left" w:pos="7230"/>
              </w:tabs>
              <w:ind w:left="62"/>
            </w:pPr>
            <w:r>
              <w:t xml:space="preserve">3. </w:t>
            </w:r>
            <w:r w:rsidR="00F451D1">
              <w:t xml:space="preserve"> </w:t>
            </w:r>
            <w:r w:rsidR="00981389">
              <w:t>Identificar y</w:t>
            </w:r>
            <w:r w:rsidR="00A941FC">
              <w:t xml:space="preserve"> </w:t>
            </w:r>
            <w:r>
              <w:t xml:space="preserve">presentar resoluciones </w:t>
            </w:r>
            <w:r w:rsidR="00F451D1">
              <w:t>de</w:t>
            </w:r>
            <w:r>
              <w:t>l PDH y/o de la</w:t>
            </w:r>
            <w:r w:rsidR="00F451D1">
              <w:t xml:space="preserve"> CC </w:t>
            </w:r>
          </w:p>
          <w:p w:rsidR="00EB482D" w:rsidRDefault="00EB482D" w:rsidP="00783391">
            <w:pPr>
              <w:tabs>
                <w:tab w:val="left" w:pos="7230"/>
              </w:tabs>
            </w:pPr>
          </w:p>
          <w:p w:rsidR="00EB482D" w:rsidRDefault="00EB482D" w:rsidP="00783391">
            <w:pPr>
              <w:tabs>
                <w:tab w:val="left" w:pos="7230"/>
              </w:tabs>
            </w:pPr>
            <w:r>
              <w:t xml:space="preserve"> </w:t>
            </w:r>
          </w:p>
        </w:tc>
        <w:tc>
          <w:tcPr>
            <w:tcW w:w="3422" w:type="dxa"/>
          </w:tcPr>
          <w:p w:rsidR="001A1F9C" w:rsidRDefault="006F22E1" w:rsidP="00484478">
            <w:pPr>
              <w:tabs>
                <w:tab w:val="left" w:pos="7230"/>
              </w:tabs>
            </w:pPr>
            <w:r>
              <w:t>Sentencias</w:t>
            </w:r>
            <w:r w:rsidR="00B1186D">
              <w:t xml:space="preserve"> relacionadas</w:t>
            </w:r>
            <w:r w:rsidR="00981389">
              <w:t xml:space="preserve"> con los derechos por parte de la Corte de Constitucionalidad.</w:t>
            </w:r>
          </w:p>
          <w:p w:rsidR="00981389" w:rsidRDefault="00981389" w:rsidP="00484478">
            <w:pPr>
              <w:tabs>
                <w:tab w:val="left" w:pos="7230"/>
              </w:tabs>
            </w:pPr>
          </w:p>
          <w:p w:rsidR="00981389" w:rsidRDefault="00981389" w:rsidP="00484478">
            <w:pPr>
              <w:tabs>
                <w:tab w:val="left" w:pos="7230"/>
              </w:tabs>
            </w:pPr>
            <w:r>
              <w:t>Revista Jurídica del Organismo Judicial 2016-2017. CENADOJ (Jurisprudencia de la Corte de Constitucionalidad de Guatemala en el Planteamiento de acciones con relación a la aplicación del Régimen de Seguridad Social. Flor de María Dell de González  (págs. 667-688)</w:t>
            </w:r>
          </w:p>
        </w:tc>
        <w:tc>
          <w:tcPr>
            <w:tcW w:w="1220" w:type="dxa"/>
          </w:tcPr>
          <w:p w:rsidR="005D403E" w:rsidRDefault="00FB74B9" w:rsidP="00FB74B9">
            <w:pPr>
              <w:tabs>
                <w:tab w:val="left" w:pos="7230"/>
              </w:tabs>
            </w:pPr>
            <w:r>
              <w:t xml:space="preserve">6 </w:t>
            </w:r>
            <w:r w:rsidR="001A1F9C">
              <w:t>períodos</w:t>
            </w:r>
          </w:p>
        </w:tc>
      </w:tr>
    </w:tbl>
    <w:p w:rsidR="00697E9A" w:rsidRDefault="00697E9A" w:rsidP="00757502">
      <w:pPr>
        <w:spacing w:after="0"/>
        <w:jc w:val="both"/>
        <w:rPr>
          <w:rFonts w:eastAsia="Batang" w:cs="Arial"/>
          <w:sz w:val="20"/>
          <w:szCs w:val="20"/>
        </w:rPr>
      </w:pPr>
    </w:p>
    <w:p w:rsidR="006F22E1" w:rsidRDefault="006F22E1" w:rsidP="00757502">
      <w:pPr>
        <w:spacing w:after="0"/>
        <w:jc w:val="both"/>
        <w:rPr>
          <w:rFonts w:eastAsia="Batang" w:cs="Arial"/>
          <w:sz w:val="20"/>
          <w:szCs w:val="20"/>
        </w:rPr>
      </w:pPr>
    </w:p>
    <w:p w:rsidR="00CA355E" w:rsidRPr="006F22E1" w:rsidRDefault="0063590C" w:rsidP="00CA355E">
      <w:pPr>
        <w:spacing w:after="0"/>
        <w:jc w:val="both"/>
        <w:rPr>
          <w:b/>
          <w:u w:val="single"/>
        </w:rPr>
      </w:pPr>
      <w:r w:rsidRPr="006F22E1">
        <w:rPr>
          <w:b/>
          <w:u w:val="single"/>
        </w:rPr>
        <w:t>EVALUACIÓ</w:t>
      </w:r>
      <w:r w:rsidR="00CA355E" w:rsidRPr="006F22E1">
        <w:rPr>
          <w:b/>
          <w:u w:val="single"/>
        </w:rPr>
        <w:t>N</w:t>
      </w:r>
    </w:p>
    <w:p w:rsidR="001A1F9C" w:rsidRDefault="001A1F9C" w:rsidP="00CA355E">
      <w:pPr>
        <w:spacing w:after="0"/>
        <w:jc w:val="both"/>
      </w:pPr>
      <w:r w:rsidRPr="001A1F9C">
        <w:t xml:space="preserve">De conformidad con la normativa establecida en el reglamento de evaluación y promoción de </w:t>
      </w:r>
      <w:r>
        <w:t xml:space="preserve">estudiantes de </w:t>
      </w:r>
      <w:r w:rsidR="00D33933">
        <w:t>esta casa</w:t>
      </w:r>
      <w:r>
        <w:t xml:space="preserve"> de estudios.</w:t>
      </w:r>
    </w:p>
    <w:p w:rsidR="001A1F9C" w:rsidRDefault="00A941FC" w:rsidP="001A1F9C">
      <w:pPr>
        <w:pStyle w:val="Prrafodelista"/>
        <w:numPr>
          <w:ilvl w:val="0"/>
          <w:numId w:val="20"/>
        </w:numPr>
        <w:spacing w:after="0"/>
        <w:jc w:val="both"/>
      </w:pPr>
      <w:r>
        <w:t>pruebas</w:t>
      </w:r>
      <w:r w:rsidR="003F4A19">
        <w:t xml:space="preserve"> cort</w:t>
      </w:r>
      <w:r>
        <w:t>a</w:t>
      </w:r>
      <w:r w:rsidR="003F4A19">
        <w:t>s</w:t>
      </w:r>
      <w:r w:rsidR="00FB74B9">
        <w:t>/clase</w:t>
      </w:r>
      <w:r w:rsidR="000C2DA3">
        <w:tab/>
      </w:r>
      <w:r w:rsidR="000C2DA3">
        <w:tab/>
      </w:r>
      <w:r w:rsidR="003F4A19">
        <w:tab/>
      </w:r>
      <w:r w:rsidR="0063590C">
        <w:t>10</w:t>
      </w:r>
      <w:r w:rsidR="001A1F9C">
        <w:t xml:space="preserve"> puntos</w:t>
      </w:r>
    </w:p>
    <w:p w:rsidR="001A1F9C" w:rsidRDefault="0063590C" w:rsidP="001A1F9C">
      <w:pPr>
        <w:pStyle w:val="Prrafodelista"/>
        <w:numPr>
          <w:ilvl w:val="0"/>
          <w:numId w:val="20"/>
        </w:numPr>
        <w:spacing w:after="0"/>
        <w:jc w:val="both"/>
      </w:pPr>
      <w:r>
        <w:t xml:space="preserve">Ensayo   </w:t>
      </w:r>
      <w:r w:rsidR="001A1F9C">
        <w:tab/>
      </w:r>
      <w:r w:rsidR="001A1F9C">
        <w:tab/>
      </w:r>
      <w:r w:rsidR="001A1F9C">
        <w:tab/>
      </w:r>
      <w:r w:rsidR="001A1F9C">
        <w:tab/>
      </w:r>
      <w:r>
        <w:t>20</w:t>
      </w:r>
      <w:r w:rsidR="001A1F9C">
        <w:t xml:space="preserve"> puntos</w:t>
      </w:r>
      <w:r w:rsidR="00BB6B1B">
        <w:t xml:space="preserve">                     </w:t>
      </w:r>
      <w:r w:rsidR="003F4A19">
        <w:t xml:space="preserve"> </w:t>
      </w:r>
      <w:r w:rsidR="00BB6B1B">
        <w:t>última semana mayo</w:t>
      </w:r>
    </w:p>
    <w:p w:rsidR="001A1F9C" w:rsidRDefault="00BB6B1B" w:rsidP="001A1F9C">
      <w:pPr>
        <w:pStyle w:val="Prrafodelista"/>
        <w:numPr>
          <w:ilvl w:val="0"/>
          <w:numId w:val="20"/>
        </w:numPr>
        <w:spacing w:after="0"/>
        <w:jc w:val="both"/>
      </w:pPr>
      <w:r>
        <w:t>Exposiciones de tema asignado</w:t>
      </w:r>
      <w:r w:rsidR="001A1F9C">
        <w:tab/>
      </w:r>
      <w:r w:rsidR="003F4A19">
        <w:tab/>
        <w:t>2</w:t>
      </w:r>
      <w:r w:rsidR="00A941FC">
        <w:t>5</w:t>
      </w:r>
      <w:r w:rsidR="003F4A19">
        <w:t xml:space="preserve"> puntos                      según calendario</w:t>
      </w:r>
    </w:p>
    <w:p w:rsidR="003F4A19" w:rsidRDefault="00430332" w:rsidP="001A1F9C">
      <w:pPr>
        <w:pStyle w:val="Prrafodelista"/>
        <w:numPr>
          <w:ilvl w:val="0"/>
          <w:numId w:val="20"/>
        </w:numPr>
        <w:spacing w:after="0"/>
        <w:jc w:val="both"/>
      </w:pPr>
      <w:r>
        <w:t>Comprobaciones de lectura</w:t>
      </w:r>
      <w:r w:rsidR="00FB74B9">
        <w:tab/>
      </w:r>
      <w:r w:rsidR="00FB74B9">
        <w:tab/>
        <w:t>3</w:t>
      </w:r>
      <w:r w:rsidR="003F4A19">
        <w:t>0 puntos</w:t>
      </w:r>
      <w:r w:rsidR="003F4A19">
        <w:tab/>
        <w:t xml:space="preserve">         </w:t>
      </w:r>
      <w:r w:rsidR="004D58A6">
        <w:t xml:space="preserve">  </w:t>
      </w:r>
      <w:r w:rsidR="003F4A19">
        <w:t xml:space="preserve"> </w:t>
      </w:r>
      <w:r>
        <w:t>según calendario</w:t>
      </w:r>
      <w:r w:rsidR="00A941FC">
        <w:t xml:space="preserve"> </w:t>
      </w:r>
    </w:p>
    <w:p w:rsidR="00CA355E" w:rsidRDefault="003F4A19" w:rsidP="00B20CCF">
      <w:pPr>
        <w:pStyle w:val="Prrafodelista"/>
        <w:numPr>
          <w:ilvl w:val="0"/>
          <w:numId w:val="20"/>
        </w:numPr>
        <w:spacing w:after="0"/>
        <w:jc w:val="both"/>
      </w:pPr>
      <w:r>
        <w:t>Examen final</w:t>
      </w:r>
      <w:r>
        <w:tab/>
      </w:r>
      <w:r>
        <w:tab/>
      </w:r>
      <w:r w:rsidR="00A941FC">
        <w:tab/>
      </w:r>
      <w:r w:rsidR="00A941FC">
        <w:tab/>
      </w:r>
      <w:r w:rsidR="00FB74B9">
        <w:t>15</w:t>
      </w:r>
      <w:r>
        <w:t xml:space="preserve"> puntos                      </w:t>
      </w:r>
      <w:r w:rsidR="00BB6B1B">
        <w:t>junio</w:t>
      </w:r>
    </w:p>
    <w:p w:rsidR="00BB6B1B" w:rsidRDefault="00BB6B1B" w:rsidP="00CA355E">
      <w:pPr>
        <w:spacing w:after="0"/>
        <w:jc w:val="both"/>
        <w:rPr>
          <w:b/>
        </w:rPr>
      </w:pPr>
    </w:p>
    <w:p w:rsidR="00BB6B1B" w:rsidRDefault="00BB6B1B" w:rsidP="00CA355E">
      <w:pPr>
        <w:spacing w:after="0"/>
        <w:jc w:val="both"/>
        <w:rPr>
          <w:b/>
        </w:rPr>
      </w:pPr>
    </w:p>
    <w:p w:rsidR="00BB6B1B" w:rsidRDefault="00BB6B1B" w:rsidP="00CA355E">
      <w:pPr>
        <w:spacing w:after="0"/>
        <w:jc w:val="both"/>
        <w:rPr>
          <w:b/>
        </w:rPr>
      </w:pPr>
    </w:p>
    <w:p w:rsidR="00CA355E" w:rsidRDefault="00CA355E" w:rsidP="00CA355E">
      <w:pPr>
        <w:spacing w:after="0"/>
        <w:jc w:val="both"/>
        <w:rPr>
          <w:b/>
        </w:rPr>
      </w:pPr>
      <w:r>
        <w:rPr>
          <w:b/>
        </w:rPr>
        <w:t>INVENTARIO DE RECURSOS</w:t>
      </w:r>
    </w:p>
    <w:p w:rsidR="00B61553" w:rsidRPr="00B61553" w:rsidRDefault="00B61553" w:rsidP="00CA355E">
      <w:pPr>
        <w:spacing w:after="0"/>
        <w:jc w:val="both"/>
      </w:pPr>
      <w:r w:rsidRPr="00B61553">
        <w:t xml:space="preserve">Comprenderá los diversos materiales de apoyo, como textos, </w:t>
      </w:r>
      <w:r w:rsidR="00BB6B1B" w:rsidRPr="00B61553">
        <w:t>libros, folletos</w:t>
      </w:r>
      <w:r w:rsidRPr="00B61553">
        <w:t>, revistas jurídicas, etc.  A este material se estima los videos que se seleccionen</w:t>
      </w:r>
      <w:r w:rsidR="004D58A6">
        <w:t xml:space="preserve"> para los temas propuestos para que se</w:t>
      </w:r>
      <w:r w:rsidRPr="00B61553">
        <w:t xml:space="preserve"> presenten en clase para el análisis y discusión.</w:t>
      </w:r>
    </w:p>
    <w:p w:rsidR="00783391" w:rsidRDefault="00783391" w:rsidP="00757502">
      <w:pPr>
        <w:spacing w:after="0"/>
        <w:jc w:val="both"/>
        <w:rPr>
          <w:rFonts w:eastAsia="Batang" w:cs="Arial"/>
          <w:sz w:val="20"/>
          <w:szCs w:val="20"/>
        </w:rPr>
      </w:pPr>
    </w:p>
    <w:p w:rsidR="00CA355E" w:rsidRDefault="00BB6B1B" w:rsidP="00CA355E">
      <w:pPr>
        <w:spacing w:after="0"/>
        <w:jc w:val="both"/>
      </w:pPr>
      <w:r>
        <w:rPr>
          <w:b/>
        </w:rPr>
        <w:lastRenderedPageBreak/>
        <w:t xml:space="preserve">REFERENCIAS.  </w:t>
      </w:r>
      <w:r w:rsidR="00CA355E">
        <w:t xml:space="preserve"> </w:t>
      </w:r>
      <w:r>
        <w:t xml:space="preserve"> Además de las señaladas en los temas, se presenta </w:t>
      </w:r>
      <w:r w:rsidR="000C2DA3">
        <w:t>las siguientes referencias</w:t>
      </w:r>
    </w:p>
    <w:p w:rsidR="004D58A6" w:rsidRDefault="004D58A6" w:rsidP="004D58A6">
      <w:pPr>
        <w:pStyle w:val="Prrafodelista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4D58A6">
        <w:rPr>
          <w:sz w:val="24"/>
          <w:szCs w:val="24"/>
        </w:rPr>
        <w:t>ASIES. I Conferencia Nacional sobre Derechos Humanos, Guatemala 2002.</w:t>
      </w:r>
    </w:p>
    <w:p w:rsidR="00FC5688" w:rsidRPr="004D58A6" w:rsidRDefault="00FC5688" w:rsidP="004D58A6">
      <w:pPr>
        <w:pStyle w:val="Prrafodelista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Bernal Pulido. Derechos Fundamentales. </w:t>
      </w:r>
      <w:hyperlink r:id="rId15" w:history="1">
        <w:r w:rsidRPr="007A591E">
          <w:rPr>
            <w:rStyle w:val="Hipervnculo"/>
            <w:sz w:val="24"/>
            <w:szCs w:val="24"/>
          </w:rPr>
          <w:t>www.Jurídicas.unam.mx</w:t>
        </w:r>
      </w:hyperlink>
      <w:r>
        <w:rPr>
          <w:sz w:val="24"/>
          <w:szCs w:val="24"/>
        </w:rPr>
        <w:t xml:space="preserve"> http://biblio.juridicas.uma,.mx</w:t>
      </w:r>
    </w:p>
    <w:p w:rsidR="004D58A6" w:rsidRPr="004D58A6" w:rsidRDefault="004D58A6" w:rsidP="004D58A6">
      <w:pPr>
        <w:pStyle w:val="Prrafodelista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4D58A6">
        <w:rPr>
          <w:sz w:val="24"/>
          <w:szCs w:val="24"/>
        </w:rPr>
        <w:t>Bidart Campo, Germán J. Teoría general de los Derechos Humanos. Editorial Astrea, Buenos Aires. 1994.</w:t>
      </w:r>
    </w:p>
    <w:p w:rsidR="004D58A6" w:rsidRDefault="004D58A6" w:rsidP="004D58A6">
      <w:pPr>
        <w:pStyle w:val="Prrafodelista"/>
        <w:numPr>
          <w:ilvl w:val="0"/>
          <w:numId w:val="21"/>
        </w:numPr>
        <w:spacing w:after="0" w:line="240" w:lineRule="auto"/>
        <w:ind w:left="284" w:hanging="295"/>
        <w:jc w:val="both"/>
        <w:rPr>
          <w:sz w:val="24"/>
          <w:szCs w:val="24"/>
        </w:rPr>
      </w:pPr>
      <w:r w:rsidRPr="004D58A6">
        <w:rPr>
          <w:sz w:val="24"/>
          <w:szCs w:val="24"/>
        </w:rPr>
        <w:t>Campillo Sainz, José.  Derechos fundamentales de la persona humana.  Derechos Sociales.  Comisión Nacional de Derechos Humanos.  México 1995.</w:t>
      </w:r>
    </w:p>
    <w:p w:rsidR="004D58A6" w:rsidRDefault="00B505C9" w:rsidP="00B505C9">
      <w:pPr>
        <w:pStyle w:val="Prrafodelista"/>
        <w:numPr>
          <w:ilvl w:val="0"/>
          <w:numId w:val="21"/>
        </w:numPr>
        <w:spacing w:after="0" w:line="240" w:lineRule="auto"/>
        <w:ind w:left="284" w:hanging="295"/>
        <w:jc w:val="both"/>
        <w:rPr>
          <w:sz w:val="24"/>
          <w:szCs w:val="24"/>
        </w:rPr>
      </w:pPr>
      <w:r w:rsidRPr="00B505C9">
        <w:rPr>
          <w:sz w:val="24"/>
          <w:szCs w:val="24"/>
        </w:rPr>
        <w:t xml:space="preserve">CEPAL. Revista No. 132. Diciembre 220, Edición Especial “El covid-19  y la crisis socioeconómica en América Latina y el caribe. </w:t>
      </w:r>
    </w:p>
    <w:p w:rsidR="00B505C9" w:rsidRPr="00B505C9" w:rsidRDefault="00B505C9" w:rsidP="00B505C9">
      <w:pPr>
        <w:pStyle w:val="Prrafodelista"/>
        <w:numPr>
          <w:ilvl w:val="0"/>
          <w:numId w:val="21"/>
        </w:numPr>
        <w:spacing w:after="0" w:line="240" w:lineRule="auto"/>
        <w:ind w:left="284" w:hanging="2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CEPAL.  Pandemia de COVID-19 el Derecho a estudiar de las niñas, </w:t>
      </w:r>
      <w:r w:rsidR="00A06494">
        <w:rPr>
          <w:sz w:val="24"/>
          <w:szCs w:val="24"/>
        </w:rPr>
        <w:t>niños</w:t>
      </w:r>
      <w:r>
        <w:rPr>
          <w:sz w:val="24"/>
          <w:szCs w:val="24"/>
        </w:rPr>
        <w:t xml:space="preserve"> y adolescentes en América Latina y el </w:t>
      </w:r>
      <w:r w:rsidR="00A06494">
        <w:rPr>
          <w:sz w:val="24"/>
          <w:szCs w:val="24"/>
        </w:rPr>
        <w:t>Caribe. Diciembre 2021</w:t>
      </w:r>
    </w:p>
    <w:p w:rsidR="00FB74B9" w:rsidRPr="004D58A6" w:rsidRDefault="00FC5688" w:rsidP="004D58A6">
      <w:pPr>
        <w:pStyle w:val="Prrafodelista"/>
        <w:numPr>
          <w:ilvl w:val="0"/>
          <w:numId w:val="21"/>
        </w:numPr>
        <w:spacing w:after="0" w:line="240" w:lineRule="auto"/>
        <w:ind w:left="284" w:hanging="29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Dh</w:t>
      </w:r>
      <w:r w:rsidR="00FB74B9">
        <w:rPr>
          <w:sz w:val="24"/>
          <w:szCs w:val="24"/>
        </w:rPr>
        <w:t>es</w:t>
      </w:r>
      <w:proofErr w:type="spellEnd"/>
      <w:r w:rsidR="00FB74B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Red Derechos Humanos y </w:t>
      </w:r>
      <w:r w:rsidR="00A06494">
        <w:rPr>
          <w:sz w:val="24"/>
          <w:szCs w:val="24"/>
        </w:rPr>
        <w:t>Educación</w:t>
      </w:r>
      <w:r>
        <w:rPr>
          <w:sz w:val="24"/>
          <w:szCs w:val="24"/>
        </w:rPr>
        <w:t xml:space="preserve"> superior. Derechos Humanos y </w:t>
      </w:r>
      <w:r w:rsidR="00A06494">
        <w:rPr>
          <w:sz w:val="24"/>
          <w:szCs w:val="24"/>
        </w:rPr>
        <w:t>Política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Publicas</w:t>
      </w:r>
      <w:proofErr w:type="gramEnd"/>
      <w:r>
        <w:rPr>
          <w:sz w:val="24"/>
          <w:szCs w:val="24"/>
        </w:rPr>
        <w:t>. Barcelona. 2014</w:t>
      </w:r>
    </w:p>
    <w:p w:rsidR="004D58A6" w:rsidRDefault="004D58A6" w:rsidP="004D58A6">
      <w:pPr>
        <w:pStyle w:val="Prrafodelista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4D58A6">
        <w:rPr>
          <w:sz w:val="24"/>
          <w:szCs w:val="24"/>
        </w:rPr>
        <w:t>García Laguardia, Jorge Mario.  Orígenes de la Democracia Constitucional de Centroamérica, Educa, Costa Rica 1976.</w:t>
      </w:r>
    </w:p>
    <w:p w:rsidR="00B66B64" w:rsidRPr="00FC5688" w:rsidRDefault="000C2DA3" w:rsidP="00FC5688">
      <w:pPr>
        <w:pStyle w:val="Prrafodelista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C5688">
        <w:rPr>
          <w:sz w:val="24"/>
          <w:szCs w:val="24"/>
        </w:rPr>
        <w:t>Instituto Interamericano de Derechos Humanos. Protección Internacional de los Derechos Económicos, Sociales y Culturales.  Sistema Universal y Sistema Interamericano. 2008</w:t>
      </w:r>
      <w:r w:rsidR="00B66B64" w:rsidRPr="00FC5688">
        <w:rPr>
          <w:sz w:val="24"/>
          <w:szCs w:val="24"/>
        </w:rPr>
        <w:t xml:space="preserve"> </w:t>
      </w:r>
    </w:p>
    <w:p w:rsidR="004D58A6" w:rsidRPr="004D58A6" w:rsidRDefault="004D58A6" w:rsidP="004D58A6">
      <w:pPr>
        <w:pStyle w:val="Prrafodelista"/>
        <w:numPr>
          <w:ilvl w:val="0"/>
          <w:numId w:val="21"/>
        </w:numPr>
        <w:spacing w:after="0" w:line="240" w:lineRule="auto"/>
        <w:ind w:left="284" w:hanging="295"/>
        <w:jc w:val="both"/>
        <w:rPr>
          <w:sz w:val="24"/>
          <w:szCs w:val="24"/>
        </w:rPr>
      </w:pPr>
      <w:r w:rsidRPr="004D58A6">
        <w:rPr>
          <w:sz w:val="24"/>
          <w:szCs w:val="24"/>
        </w:rPr>
        <w:t>Konrad Adenauer. Dialogo jurisprudencial.  Derecho Internacional de los Derechos Humanos. 2009.</w:t>
      </w:r>
    </w:p>
    <w:p w:rsidR="004D58A6" w:rsidRPr="004D58A6" w:rsidRDefault="004D58A6" w:rsidP="004D58A6">
      <w:pPr>
        <w:pStyle w:val="Prrafodelista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4D58A6">
        <w:rPr>
          <w:sz w:val="24"/>
          <w:szCs w:val="24"/>
        </w:rPr>
        <w:t xml:space="preserve">Massini, Carlos Ignacio.  El Derecho los Derechos Humanos y el Valor del Derecho.  </w:t>
      </w:r>
      <w:proofErr w:type="spellStart"/>
      <w:r w:rsidRPr="004D58A6">
        <w:rPr>
          <w:sz w:val="24"/>
          <w:szCs w:val="24"/>
        </w:rPr>
        <w:t>Abeledo</w:t>
      </w:r>
      <w:proofErr w:type="spellEnd"/>
      <w:r w:rsidRPr="004D58A6">
        <w:rPr>
          <w:sz w:val="24"/>
          <w:szCs w:val="24"/>
        </w:rPr>
        <w:t xml:space="preserve"> Perrot. Buenos Aires, Argentina 1997.</w:t>
      </w:r>
    </w:p>
    <w:p w:rsidR="004D58A6" w:rsidRPr="004D58A6" w:rsidRDefault="004D58A6" w:rsidP="004D58A6">
      <w:pPr>
        <w:pStyle w:val="Prrafodelista"/>
        <w:numPr>
          <w:ilvl w:val="0"/>
          <w:numId w:val="2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4D58A6">
        <w:rPr>
          <w:sz w:val="24"/>
          <w:szCs w:val="24"/>
        </w:rPr>
        <w:t xml:space="preserve">Peces-Barba Martínez, Gregorio.  Tránsito a la Modernidad y Derechos </w:t>
      </w:r>
      <w:r w:rsidR="000C2DA3">
        <w:rPr>
          <w:sz w:val="24"/>
          <w:szCs w:val="24"/>
        </w:rPr>
        <w:t xml:space="preserve">  </w:t>
      </w:r>
      <w:r w:rsidRPr="004D58A6">
        <w:rPr>
          <w:sz w:val="24"/>
          <w:szCs w:val="24"/>
        </w:rPr>
        <w:t>Fundamentales.  Editorial Mezquita, Madrid 1982.</w:t>
      </w:r>
    </w:p>
    <w:p w:rsidR="004D58A6" w:rsidRPr="00FC5688" w:rsidRDefault="004D58A6" w:rsidP="00FC5688">
      <w:pPr>
        <w:pStyle w:val="Prrafodelista"/>
        <w:numPr>
          <w:ilvl w:val="0"/>
          <w:numId w:val="21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FC5688">
        <w:rPr>
          <w:sz w:val="24"/>
          <w:szCs w:val="24"/>
        </w:rPr>
        <w:t>Peces-Barba Martínez, Gregorio.  Teoría de la Justicia.</w:t>
      </w:r>
      <w:bookmarkStart w:id="0" w:name="_GoBack"/>
      <w:bookmarkEnd w:id="0"/>
    </w:p>
    <w:p w:rsidR="004D58A6" w:rsidRPr="004D58A6" w:rsidRDefault="004D58A6" w:rsidP="00B66B64">
      <w:pPr>
        <w:pStyle w:val="Prrafodelista"/>
        <w:numPr>
          <w:ilvl w:val="0"/>
          <w:numId w:val="21"/>
        </w:numPr>
        <w:spacing w:after="0" w:line="240" w:lineRule="auto"/>
        <w:ind w:hanging="720"/>
        <w:jc w:val="both"/>
        <w:rPr>
          <w:sz w:val="24"/>
          <w:szCs w:val="24"/>
        </w:rPr>
      </w:pPr>
      <w:proofErr w:type="spellStart"/>
      <w:r w:rsidRPr="004D58A6">
        <w:rPr>
          <w:sz w:val="24"/>
          <w:szCs w:val="24"/>
        </w:rPr>
        <w:t>Schipani</w:t>
      </w:r>
      <w:proofErr w:type="spellEnd"/>
      <w:r w:rsidRPr="004D58A6">
        <w:rPr>
          <w:sz w:val="24"/>
          <w:szCs w:val="24"/>
        </w:rPr>
        <w:t>, Sandro y otros autores.  Constitucionalismo Latino y Liberalismo.  Universidad Externado de Colombia 1990.</w:t>
      </w:r>
    </w:p>
    <w:p w:rsidR="004D58A6" w:rsidRPr="004D58A6" w:rsidRDefault="004D58A6" w:rsidP="00B66B64">
      <w:pPr>
        <w:pStyle w:val="Prrafodelista"/>
        <w:numPr>
          <w:ilvl w:val="0"/>
          <w:numId w:val="21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4D58A6">
        <w:rPr>
          <w:sz w:val="24"/>
          <w:szCs w:val="24"/>
        </w:rPr>
        <w:t xml:space="preserve">Universidad Rafael Landívar.  Los Derechos Económicos, Sociales y Culturales: II desafío de su justiciabilidad.  Cuaderno de estudio 21. </w:t>
      </w:r>
      <w:r w:rsidR="00BB6B1B" w:rsidRPr="004D58A6">
        <w:rPr>
          <w:sz w:val="24"/>
          <w:szCs w:val="24"/>
        </w:rPr>
        <w:t>febrero</w:t>
      </w:r>
      <w:r w:rsidRPr="004D58A6">
        <w:rPr>
          <w:sz w:val="24"/>
          <w:szCs w:val="24"/>
        </w:rPr>
        <w:t xml:space="preserve"> 2002.</w:t>
      </w:r>
    </w:p>
    <w:p w:rsidR="004D58A6" w:rsidRPr="004D58A6" w:rsidRDefault="004D58A6" w:rsidP="00B66B64">
      <w:pPr>
        <w:pStyle w:val="Prrafodelista"/>
        <w:numPr>
          <w:ilvl w:val="0"/>
          <w:numId w:val="21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4D58A6">
        <w:rPr>
          <w:sz w:val="24"/>
          <w:szCs w:val="24"/>
        </w:rPr>
        <w:t xml:space="preserve">Universidad Rafael Landívar.  El Derecho del Trabajo en la globalización de la </w:t>
      </w:r>
      <w:r w:rsidR="00BB6B1B" w:rsidRPr="004D58A6">
        <w:rPr>
          <w:sz w:val="24"/>
          <w:szCs w:val="24"/>
        </w:rPr>
        <w:t>economía, cuaderno</w:t>
      </w:r>
      <w:r w:rsidRPr="004D58A6">
        <w:rPr>
          <w:sz w:val="24"/>
          <w:szCs w:val="24"/>
        </w:rPr>
        <w:t xml:space="preserve"> de estudio 16, septiembre 2001.</w:t>
      </w:r>
    </w:p>
    <w:p w:rsidR="004D58A6" w:rsidRDefault="004D58A6" w:rsidP="00B66B64">
      <w:pPr>
        <w:pStyle w:val="Prrafodelista"/>
        <w:numPr>
          <w:ilvl w:val="0"/>
          <w:numId w:val="21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4D58A6">
        <w:rPr>
          <w:sz w:val="24"/>
          <w:szCs w:val="24"/>
        </w:rPr>
        <w:t>Universidad Rafael Landívar.  La globalización y la tercera vía.  Cuaderno de estudio 19 diciembre 2001.</w:t>
      </w:r>
    </w:p>
    <w:p w:rsidR="00B66B64" w:rsidRDefault="00B66B64" w:rsidP="00B66B64">
      <w:pPr>
        <w:pStyle w:val="Prrafodelista"/>
        <w:numPr>
          <w:ilvl w:val="0"/>
          <w:numId w:val="21"/>
        </w:numPr>
        <w:spacing w:after="0"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Vázquez, Rodolfo. Derechos Humanos, una lectura liberal igualitaria. México 2015.</w:t>
      </w:r>
    </w:p>
    <w:p w:rsidR="004D58A6" w:rsidRDefault="004D58A6" w:rsidP="00B66B64">
      <w:pPr>
        <w:pStyle w:val="Prrafodelista"/>
        <w:numPr>
          <w:ilvl w:val="0"/>
          <w:numId w:val="21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4D58A6">
        <w:rPr>
          <w:sz w:val="24"/>
          <w:szCs w:val="24"/>
        </w:rPr>
        <w:t>Velásquez Juárez, María del Rosario.  Las Normas Programáticas y su repercusión en los Derechos Humanos.  Tesis de Maestría</w:t>
      </w:r>
      <w:r w:rsidR="00332B26">
        <w:rPr>
          <w:sz w:val="24"/>
          <w:szCs w:val="24"/>
        </w:rPr>
        <w:t xml:space="preserve"> en Derechos Humanos</w:t>
      </w:r>
      <w:r w:rsidRPr="004D58A6">
        <w:rPr>
          <w:sz w:val="24"/>
          <w:szCs w:val="24"/>
        </w:rPr>
        <w:t>.</w:t>
      </w:r>
      <w:r>
        <w:rPr>
          <w:sz w:val="24"/>
          <w:szCs w:val="24"/>
        </w:rPr>
        <w:t>2000</w:t>
      </w:r>
    </w:p>
    <w:p w:rsidR="004D58A6" w:rsidRPr="004D58A6" w:rsidRDefault="004D58A6" w:rsidP="00B66B64">
      <w:pPr>
        <w:pStyle w:val="Prrafodelista"/>
        <w:numPr>
          <w:ilvl w:val="0"/>
          <w:numId w:val="21"/>
        </w:numPr>
        <w:spacing w:after="0" w:line="24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Velásquez Juárez, María del Rosario. Identidades sexuales diferentes: E</w:t>
      </w:r>
      <w:r w:rsidR="00BB6B1B">
        <w:rPr>
          <w:sz w:val="24"/>
          <w:szCs w:val="24"/>
        </w:rPr>
        <w:t>stado, Derecho y Moral.  Tesis D</w:t>
      </w:r>
      <w:r w:rsidR="00FC5688">
        <w:rPr>
          <w:sz w:val="24"/>
          <w:szCs w:val="24"/>
        </w:rPr>
        <w:t>octoral</w:t>
      </w:r>
      <w:r w:rsidR="00332B26">
        <w:rPr>
          <w:sz w:val="24"/>
          <w:szCs w:val="24"/>
        </w:rPr>
        <w:t xml:space="preserve"> en Derecho</w:t>
      </w:r>
      <w:r>
        <w:rPr>
          <w:sz w:val="24"/>
          <w:szCs w:val="24"/>
        </w:rPr>
        <w:t>. 2013</w:t>
      </w:r>
    </w:p>
    <w:p w:rsidR="004D58A6" w:rsidRDefault="004D58A6" w:rsidP="00B66B64">
      <w:pPr>
        <w:pStyle w:val="Prrafodelista"/>
        <w:numPr>
          <w:ilvl w:val="0"/>
          <w:numId w:val="21"/>
        </w:numPr>
        <w:spacing w:after="0" w:line="240" w:lineRule="auto"/>
        <w:ind w:hanging="720"/>
        <w:jc w:val="both"/>
        <w:rPr>
          <w:sz w:val="24"/>
          <w:szCs w:val="24"/>
        </w:rPr>
      </w:pPr>
      <w:r w:rsidRPr="004D58A6">
        <w:rPr>
          <w:sz w:val="24"/>
          <w:szCs w:val="24"/>
        </w:rPr>
        <w:t xml:space="preserve">Informes del Procurador de los Derechos Humanos. </w:t>
      </w:r>
      <w:r w:rsidR="008D6C5C">
        <w:rPr>
          <w:sz w:val="24"/>
          <w:szCs w:val="24"/>
        </w:rPr>
        <w:t xml:space="preserve"> (2021)</w:t>
      </w:r>
    </w:p>
    <w:p w:rsidR="004D58A6" w:rsidRPr="004D58A6" w:rsidRDefault="004D58A6" w:rsidP="004D58A6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4D58A6" w:rsidRPr="004D58A6" w:rsidRDefault="00BB6B1B" w:rsidP="00BB6B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Legislación nacional</w:t>
      </w:r>
      <w:r w:rsidR="00E737B4">
        <w:rPr>
          <w:sz w:val="24"/>
          <w:szCs w:val="24"/>
        </w:rPr>
        <w:t xml:space="preserve"> (mínima)</w:t>
      </w:r>
      <w:r>
        <w:rPr>
          <w:sz w:val="24"/>
          <w:szCs w:val="24"/>
        </w:rPr>
        <w:t xml:space="preserve">: </w:t>
      </w:r>
      <w:r w:rsidR="004D58A6" w:rsidRPr="004D58A6">
        <w:rPr>
          <w:sz w:val="24"/>
          <w:szCs w:val="24"/>
        </w:rPr>
        <w:tab/>
      </w:r>
    </w:p>
    <w:p w:rsidR="004D58A6" w:rsidRPr="004D58A6" w:rsidRDefault="004D58A6" w:rsidP="004D58A6">
      <w:pPr>
        <w:pStyle w:val="Prrafodelista"/>
        <w:spacing w:after="0" w:line="240" w:lineRule="auto"/>
        <w:jc w:val="both"/>
        <w:rPr>
          <w:sz w:val="24"/>
          <w:szCs w:val="24"/>
        </w:rPr>
      </w:pPr>
      <w:r w:rsidRPr="004D58A6">
        <w:rPr>
          <w:sz w:val="24"/>
          <w:szCs w:val="24"/>
        </w:rPr>
        <w:t>Constitución Política de la República</w:t>
      </w:r>
      <w:r w:rsidRPr="004D58A6">
        <w:rPr>
          <w:sz w:val="24"/>
          <w:szCs w:val="24"/>
        </w:rPr>
        <w:tab/>
      </w:r>
    </w:p>
    <w:p w:rsidR="004D58A6" w:rsidRPr="004D58A6" w:rsidRDefault="004D58A6" w:rsidP="004D58A6">
      <w:pPr>
        <w:pStyle w:val="Prrafodelista"/>
        <w:spacing w:after="0" w:line="240" w:lineRule="auto"/>
        <w:jc w:val="both"/>
        <w:rPr>
          <w:sz w:val="24"/>
          <w:szCs w:val="24"/>
        </w:rPr>
      </w:pPr>
      <w:r w:rsidRPr="004D58A6">
        <w:rPr>
          <w:sz w:val="24"/>
          <w:szCs w:val="24"/>
        </w:rPr>
        <w:t>Código del Trabajo</w:t>
      </w:r>
    </w:p>
    <w:p w:rsidR="004D58A6" w:rsidRPr="004D58A6" w:rsidRDefault="004D58A6" w:rsidP="004D58A6">
      <w:pPr>
        <w:pStyle w:val="Prrafodelista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4D58A6">
        <w:rPr>
          <w:sz w:val="24"/>
          <w:szCs w:val="24"/>
        </w:rPr>
        <w:t>Código de Salud</w:t>
      </w:r>
    </w:p>
    <w:p w:rsidR="00B66B64" w:rsidRPr="004D58A6" w:rsidRDefault="004D58A6" w:rsidP="004D58A6">
      <w:pPr>
        <w:pStyle w:val="Prrafodelista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4D58A6">
        <w:rPr>
          <w:sz w:val="24"/>
          <w:szCs w:val="24"/>
        </w:rPr>
        <w:t>Ley de Educación Nacional</w:t>
      </w:r>
    </w:p>
    <w:p w:rsidR="00B66B64" w:rsidRPr="003A7DD4" w:rsidRDefault="00B66B64" w:rsidP="00B66B64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7DD4">
        <w:rPr>
          <w:sz w:val="24"/>
          <w:szCs w:val="24"/>
        </w:rPr>
        <w:t>Ley de Desarrollo Social</w:t>
      </w:r>
    </w:p>
    <w:p w:rsidR="00B66B64" w:rsidRPr="003A7DD4" w:rsidRDefault="00B66B64" w:rsidP="00B66B64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7DD4">
        <w:rPr>
          <w:sz w:val="24"/>
          <w:szCs w:val="24"/>
        </w:rPr>
        <w:t>Ley de Planificación Familiar</w:t>
      </w:r>
    </w:p>
    <w:p w:rsidR="00B66B64" w:rsidRDefault="00B66B64" w:rsidP="00B66B64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A7DD4">
        <w:rPr>
          <w:sz w:val="24"/>
          <w:szCs w:val="24"/>
        </w:rPr>
        <w:t>Ley de los Consejos de Desarro</w:t>
      </w:r>
      <w:r w:rsidR="00E737B4">
        <w:rPr>
          <w:sz w:val="24"/>
          <w:szCs w:val="24"/>
        </w:rPr>
        <w:t>llo Urbano y Rural, entre otras</w:t>
      </w:r>
    </w:p>
    <w:p w:rsidR="00E737B4" w:rsidRPr="003A7DD4" w:rsidRDefault="00E737B4" w:rsidP="00B66B64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Ley del Sistema Nacional de seguridad  Alimentaria</w:t>
      </w:r>
    </w:p>
    <w:p w:rsidR="00B66B64" w:rsidRDefault="00B66B64" w:rsidP="00B66B64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B66B64" w:rsidRDefault="00B66B64" w:rsidP="00B66B64">
      <w:pPr>
        <w:spacing w:after="0" w:line="240" w:lineRule="auto"/>
        <w:ind w:firstLine="709"/>
        <w:jc w:val="both"/>
        <w:rPr>
          <w:sz w:val="24"/>
          <w:szCs w:val="24"/>
        </w:rPr>
      </w:pPr>
      <w:r w:rsidRPr="008E7EFB">
        <w:rPr>
          <w:b/>
          <w:sz w:val="24"/>
          <w:szCs w:val="24"/>
        </w:rPr>
        <w:t>Documentos electrónicos</w:t>
      </w:r>
      <w:r>
        <w:rPr>
          <w:sz w:val="24"/>
          <w:szCs w:val="24"/>
        </w:rPr>
        <w:t>:</w:t>
      </w:r>
    </w:p>
    <w:p w:rsidR="00B66B64" w:rsidRPr="00BB6B1B" w:rsidRDefault="00B66B64" w:rsidP="00BB6B1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BB6B1B">
        <w:rPr>
          <w:sz w:val="24"/>
          <w:szCs w:val="24"/>
        </w:rPr>
        <w:t>Exigibilidad de los Derechos Económicos.</w:t>
      </w:r>
    </w:p>
    <w:p w:rsidR="00B66B64" w:rsidRPr="00BB6B1B" w:rsidRDefault="00B66B64" w:rsidP="00BB6B1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BB6B1B">
        <w:rPr>
          <w:sz w:val="24"/>
          <w:szCs w:val="24"/>
        </w:rPr>
        <w:t>Los DESC como derechos fundamentales efectivos en el Constitucionalismo democrático latinoamericano.</w:t>
      </w:r>
    </w:p>
    <w:p w:rsidR="00B66B64" w:rsidRPr="00BB6B1B" w:rsidRDefault="00B66B64" w:rsidP="00BB6B1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BB6B1B">
        <w:rPr>
          <w:sz w:val="24"/>
          <w:szCs w:val="24"/>
        </w:rPr>
        <w:t>Justiciabilidad y Exigibilidad política de los DESC y casos de los Derechos del Niño.</w:t>
      </w:r>
    </w:p>
    <w:p w:rsidR="00B66B64" w:rsidRPr="00BB6B1B" w:rsidRDefault="00B66B64" w:rsidP="00BB6B1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BB6B1B">
        <w:rPr>
          <w:sz w:val="24"/>
          <w:szCs w:val="24"/>
        </w:rPr>
        <w:lastRenderedPageBreak/>
        <w:t>El Pacto Desc. su protocolo</w:t>
      </w:r>
    </w:p>
    <w:p w:rsidR="00B66B64" w:rsidRPr="00BB6B1B" w:rsidRDefault="00B66B64" w:rsidP="00BB6B1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BB6B1B">
        <w:rPr>
          <w:sz w:val="24"/>
          <w:szCs w:val="24"/>
        </w:rPr>
        <w:t>Convención de Teherán de 1963</w:t>
      </w:r>
    </w:p>
    <w:p w:rsidR="00697E9A" w:rsidRPr="00BB6B1B" w:rsidRDefault="00B66B64" w:rsidP="00BB6B1B">
      <w:pPr>
        <w:pStyle w:val="Prrafodelista"/>
        <w:numPr>
          <w:ilvl w:val="0"/>
          <w:numId w:val="29"/>
        </w:numPr>
        <w:spacing w:after="0" w:line="240" w:lineRule="auto"/>
        <w:jc w:val="both"/>
      </w:pPr>
      <w:r w:rsidRPr="00BB6B1B">
        <w:rPr>
          <w:sz w:val="24"/>
          <w:szCs w:val="24"/>
        </w:rPr>
        <w:t xml:space="preserve">Los DESC y su justiciabilidad. </w:t>
      </w:r>
    </w:p>
    <w:p w:rsidR="00BB6B1B" w:rsidRDefault="00BB6B1B" w:rsidP="00BB6B1B">
      <w:pPr>
        <w:spacing w:after="0" w:line="240" w:lineRule="auto"/>
        <w:jc w:val="both"/>
      </w:pPr>
    </w:p>
    <w:p w:rsidR="00BB6B1B" w:rsidRDefault="00BB6B1B" w:rsidP="00BB6B1B">
      <w:pPr>
        <w:spacing w:after="0" w:line="240" w:lineRule="auto"/>
        <w:jc w:val="both"/>
      </w:pPr>
    </w:p>
    <w:p w:rsidR="00BB6B1B" w:rsidRDefault="00BB6B1B" w:rsidP="00BB6B1B">
      <w:pPr>
        <w:spacing w:after="0" w:line="240" w:lineRule="auto"/>
        <w:jc w:val="both"/>
      </w:pPr>
    </w:p>
    <w:p w:rsidR="00BB6B1B" w:rsidRPr="00697E9A" w:rsidRDefault="00BB6B1B" w:rsidP="00BB6B1B">
      <w:pPr>
        <w:spacing w:after="0" w:line="240" w:lineRule="auto"/>
        <w:jc w:val="both"/>
      </w:pPr>
      <w:r>
        <w:t>Guatemala, febrero de 202</w:t>
      </w:r>
      <w:r w:rsidR="00A06494">
        <w:t>2</w:t>
      </w:r>
    </w:p>
    <w:sectPr w:rsidR="00BB6B1B" w:rsidRPr="00697E9A" w:rsidSect="007B0A14">
      <w:pgSz w:w="12962" w:h="19153" w:code="272"/>
      <w:pgMar w:top="1417" w:right="1701" w:bottom="1417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7A" w:rsidRDefault="00E87D7A" w:rsidP="001577CA">
      <w:pPr>
        <w:spacing w:after="0" w:line="240" w:lineRule="auto"/>
      </w:pPr>
      <w:r>
        <w:separator/>
      </w:r>
    </w:p>
  </w:endnote>
  <w:endnote w:type="continuationSeparator" w:id="0">
    <w:p w:rsidR="00E87D7A" w:rsidRDefault="00E87D7A" w:rsidP="0015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150245"/>
      <w:docPartObj>
        <w:docPartGallery w:val="Page Numbers (Bottom of Page)"/>
        <w:docPartUnique/>
      </w:docPartObj>
    </w:sdtPr>
    <w:sdtEndPr/>
    <w:sdtContent>
      <w:p w:rsidR="00C24022" w:rsidRDefault="00C240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C60" w:rsidRPr="005F7C60">
          <w:rPr>
            <w:noProof/>
            <w:lang w:val="es-ES"/>
          </w:rPr>
          <w:t>5</w:t>
        </w:r>
        <w:r>
          <w:fldChar w:fldCharType="end"/>
        </w:r>
      </w:p>
    </w:sdtContent>
  </w:sdt>
  <w:p w:rsidR="00C24022" w:rsidRDefault="00C240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7A" w:rsidRDefault="00E87D7A" w:rsidP="001577CA">
      <w:pPr>
        <w:spacing w:after="0" w:line="240" w:lineRule="auto"/>
      </w:pPr>
      <w:r>
        <w:separator/>
      </w:r>
    </w:p>
  </w:footnote>
  <w:footnote w:type="continuationSeparator" w:id="0">
    <w:p w:rsidR="00E87D7A" w:rsidRDefault="00E87D7A" w:rsidP="001577CA">
      <w:pPr>
        <w:spacing w:after="0" w:line="240" w:lineRule="auto"/>
      </w:pPr>
      <w:r>
        <w:continuationSeparator/>
      </w:r>
    </w:p>
  </w:footnote>
  <w:footnote w:id="1">
    <w:p w:rsidR="003D28D9" w:rsidRDefault="003D28D9">
      <w:pPr>
        <w:pStyle w:val="Textonotapie"/>
      </w:pPr>
      <w:r>
        <w:rPr>
          <w:rStyle w:val="Refdenotaalpie"/>
        </w:rPr>
        <w:footnoteRef/>
      </w:r>
      <w:r>
        <w:t xml:space="preserve"> La pobreza es entendida como privación de libertades básicas, depende de factores económicos y sociopolíticos que incluyen la exclusión social, la discriminación y las condiciones estructurales que fomentan la marginalidad.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318"/>
    <w:multiLevelType w:val="hybridMultilevel"/>
    <w:tmpl w:val="049C14AC"/>
    <w:lvl w:ilvl="0" w:tplc="74963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20E0"/>
    <w:multiLevelType w:val="hybridMultilevel"/>
    <w:tmpl w:val="63704656"/>
    <w:lvl w:ilvl="0" w:tplc="100A000F">
      <w:start w:val="1"/>
      <w:numFmt w:val="decimal"/>
      <w:lvlText w:val="%1."/>
      <w:lvlJc w:val="left"/>
      <w:pPr>
        <w:ind w:left="1429" w:hanging="360"/>
      </w:pPr>
    </w:lvl>
    <w:lvl w:ilvl="1" w:tplc="100A0019" w:tentative="1">
      <w:start w:val="1"/>
      <w:numFmt w:val="lowerLetter"/>
      <w:lvlText w:val="%2."/>
      <w:lvlJc w:val="left"/>
      <w:pPr>
        <w:ind w:left="2149" w:hanging="360"/>
      </w:pPr>
    </w:lvl>
    <w:lvl w:ilvl="2" w:tplc="100A001B" w:tentative="1">
      <w:start w:val="1"/>
      <w:numFmt w:val="lowerRoman"/>
      <w:lvlText w:val="%3."/>
      <w:lvlJc w:val="right"/>
      <w:pPr>
        <w:ind w:left="2869" w:hanging="180"/>
      </w:pPr>
    </w:lvl>
    <w:lvl w:ilvl="3" w:tplc="100A000F" w:tentative="1">
      <w:start w:val="1"/>
      <w:numFmt w:val="decimal"/>
      <w:lvlText w:val="%4."/>
      <w:lvlJc w:val="left"/>
      <w:pPr>
        <w:ind w:left="3589" w:hanging="360"/>
      </w:pPr>
    </w:lvl>
    <w:lvl w:ilvl="4" w:tplc="100A0019" w:tentative="1">
      <w:start w:val="1"/>
      <w:numFmt w:val="lowerLetter"/>
      <w:lvlText w:val="%5."/>
      <w:lvlJc w:val="left"/>
      <w:pPr>
        <w:ind w:left="4309" w:hanging="360"/>
      </w:pPr>
    </w:lvl>
    <w:lvl w:ilvl="5" w:tplc="100A001B" w:tentative="1">
      <w:start w:val="1"/>
      <w:numFmt w:val="lowerRoman"/>
      <w:lvlText w:val="%6."/>
      <w:lvlJc w:val="right"/>
      <w:pPr>
        <w:ind w:left="5029" w:hanging="180"/>
      </w:pPr>
    </w:lvl>
    <w:lvl w:ilvl="6" w:tplc="100A000F" w:tentative="1">
      <w:start w:val="1"/>
      <w:numFmt w:val="decimal"/>
      <w:lvlText w:val="%7."/>
      <w:lvlJc w:val="left"/>
      <w:pPr>
        <w:ind w:left="5749" w:hanging="360"/>
      </w:pPr>
    </w:lvl>
    <w:lvl w:ilvl="7" w:tplc="100A0019" w:tentative="1">
      <w:start w:val="1"/>
      <w:numFmt w:val="lowerLetter"/>
      <w:lvlText w:val="%8."/>
      <w:lvlJc w:val="left"/>
      <w:pPr>
        <w:ind w:left="6469" w:hanging="360"/>
      </w:pPr>
    </w:lvl>
    <w:lvl w:ilvl="8" w:tplc="1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81514"/>
    <w:multiLevelType w:val="hybridMultilevel"/>
    <w:tmpl w:val="4772486E"/>
    <w:lvl w:ilvl="0" w:tplc="3DA68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00B83"/>
    <w:multiLevelType w:val="hybridMultilevel"/>
    <w:tmpl w:val="A00A06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0D8D"/>
    <w:multiLevelType w:val="hybridMultilevel"/>
    <w:tmpl w:val="4A868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14097"/>
    <w:multiLevelType w:val="hybridMultilevel"/>
    <w:tmpl w:val="420E85C6"/>
    <w:lvl w:ilvl="0" w:tplc="5B94D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517A2"/>
    <w:multiLevelType w:val="hybridMultilevel"/>
    <w:tmpl w:val="0A1073E4"/>
    <w:lvl w:ilvl="0" w:tplc="100A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7">
    <w:nsid w:val="1A74108A"/>
    <w:multiLevelType w:val="hybridMultilevel"/>
    <w:tmpl w:val="35EAA664"/>
    <w:lvl w:ilvl="0" w:tplc="100A000B">
      <w:start w:val="1"/>
      <w:numFmt w:val="bullet"/>
      <w:lvlText w:val=""/>
      <w:lvlJc w:val="left"/>
      <w:pPr>
        <w:ind w:left="714" w:hanging="360"/>
      </w:pPr>
      <w:rPr>
        <w:rFonts w:ascii="Wingdings" w:hAnsi="Wingdings" w:hint="default"/>
      </w:rPr>
    </w:lvl>
    <w:lvl w:ilvl="1" w:tplc="100A0019" w:tentative="1">
      <w:start w:val="1"/>
      <w:numFmt w:val="lowerLetter"/>
      <w:lvlText w:val="%2."/>
      <w:lvlJc w:val="left"/>
      <w:pPr>
        <w:ind w:left="1434" w:hanging="360"/>
      </w:pPr>
    </w:lvl>
    <w:lvl w:ilvl="2" w:tplc="100A001B" w:tentative="1">
      <w:start w:val="1"/>
      <w:numFmt w:val="lowerRoman"/>
      <w:lvlText w:val="%3."/>
      <w:lvlJc w:val="right"/>
      <w:pPr>
        <w:ind w:left="2154" w:hanging="180"/>
      </w:pPr>
    </w:lvl>
    <w:lvl w:ilvl="3" w:tplc="100A000F" w:tentative="1">
      <w:start w:val="1"/>
      <w:numFmt w:val="decimal"/>
      <w:lvlText w:val="%4."/>
      <w:lvlJc w:val="left"/>
      <w:pPr>
        <w:ind w:left="2874" w:hanging="360"/>
      </w:pPr>
    </w:lvl>
    <w:lvl w:ilvl="4" w:tplc="100A0019" w:tentative="1">
      <w:start w:val="1"/>
      <w:numFmt w:val="lowerLetter"/>
      <w:lvlText w:val="%5."/>
      <w:lvlJc w:val="left"/>
      <w:pPr>
        <w:ind w:left="3594" w:hanging="360"/>
      </w:pPr>
    </w:lvl>
    <w:lvl w:ilvl="5" w:tplc="100A001B" w:tentative="1">
      <w:start w:val="1"/>
      <w:numFmt w:val="lowerRoman"/>
      <w:lvlText w:val="%6."/>
      <w:lvlJc w:val="right"/>
      <w:pPr>
        <w:ind w:left="4314" w:hanging="180"/>
      </w:pPr>
    </w:lvl>
    <w:lvl w:ilvl="6" w:tplc="100A000F" w:tentative="1">
      <w:start w:val="1"/>
      <w:numFmt w:val="decimal"/>
      <w:lvlText w:val="%7."/>
      <w:lvlJc w:val="left"/>
      <w:pPr>
        <w:ind w:left="5034" w:hanging="360"/>
      </w:pPr>
    </w:lvl>
    <w:lvl w:ilvl="7" w:tplc="100A0019" w:tentative="1">
      <w:start w:val="1"/>
      <w:numFmt w:val="lowerLetter"/>
      <w:lvlText w:val="%8."/>
      <w:lvlJc w:val="left"/>
      <w:pPr>
        <w:ind w:left="5754" w:hanging="360"/>
      </w:pPr>
    </w:lvl>
    <w:lvl w:ilvl="8" w:tplc="10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>
    <w:nsid w:val="1EE73ED3"/>
    <w:multiLevelType w:val="multilevel"/>
    <w:tmpl w:val="9ED25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9">
    <w:nsid w:val="272E3AB6"/>
    <w:multiLevelType w:val="hybridMultilevel"/>
    <w:tmpl w:val="970C406C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D1B34"/>
    <w:multiLevelType w:val="hybridMultilevel"/>
    <w:tmpl w:val="C62E6DD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20EB0"/>
    <w:multiLevelType w:val="hybridMultilevel"/>
    <w:tmpl w:val="9A2C1114"/>
    <w:lvl w:ilvl="0" w:tplc="100A000F">
      <w:start w:val="1"/>
      <w:numFmt w:val="decimal"/>
      <w:lvlText w:val="%1."/>
      <w:lvlJc w:val="left"/>
      <w:pPr>
        <w:ind w:left="952" w:hanging="360"/>
      </w:pPr>
    </w:lvl>
    <w:lvl w:ilvl="1" w:tplc="100A0019" w:tentative="1">
      <w:start w:val="1"/>
      <w:numFmt w:val="lowerLetter"/>
      <w:lvlText w:val="%2."/>
      <w:lvlJc w:val="left"/>
      <w:pPr>
        <w:ind w:left="1672" w:hanging="360"/>
      </w:pPr>
    </w:lvl>
    <w:lvl w:ilvl="2" w:tplc="100A001B" w:tentative="1">
      <w:start w:val="1"/>
      <w:numFmt w:val="lowerRoman"/>
      <w:lvlText w:val="%3."/>
      <w:lvlJc w:val="right"/>
      <w:pPr>
        <w:ind w:left="2392" w:hanging="180"/>
      </w:pPr>
    </w:lvl>
    <w:lvl w:ilvl="3" w:tplc="100A000F" w:tentative="1">
      <w:start w:val="1"/>
      <w:numFmt w:val="decimal"/>
      <w:lvlText w:val="%4."/>
      <w:lvlJc w:val="left"/>
      <w:pPr>
        <w:ind w:left="3112" w:hanging="360"/>
      </w:pPr>
    </w:lvl>
    <w:lvl w:ilvl="4" w:tplc="100A0019" w:tentative="1">
      <w:start w:val="1"/>
      <w:numFmt w:val="lowerLetter"/>
      <w:lvlText w:val="%5."/>
      <w:lvlJc w:val="left"/>
      <w:pPr>
        <w:ind w:left="3832" w:hanging="360"/>
      </w:pPr>
    </w:lvl>
    <w:lvl w:ilvl="5" w:tplc="100A001B" w:tentative="1">
      <w:start w:val="1"/>
      <w:numFmt w:val="lowerRoman"/>
      <w:lvlText w:val="%6."/>
      <w:lvlJc w:val="right"/>
      <w:pPr>
        <w:ind w:left="4552" w:hanging="180"/>
      </w:pPr>
    </w:lvl>
    <w:lvl w:ilvl="6" w:tplc="100A000F" w:tentative="1">
      <w:start w:val="1"/>
      <w:numFmt w:val="decimal"/>
      <w:lvlText w:val="%7."/>
      <w:lvlJc w:val="left"/>
      <w:pPr>
        <w:ind w:left="5272" w:hanging="360"/>
      </w:pPr>
    </w:lvl>
    <w:lvl w:ilvl="7" w:tplc="100A0019" w:tentative="1">
      <w:start w:val="1"/>
      <w:numFmt w:val="lowerLetter"/>
      <w:lvlText w:val="%8."/>
      <w:lvlJc w:val="left"/>
      <w:pPr>
        <w:ind w:left="5992" w:hanging="360"/>
      </w:pPr>
    </w:lvl>
    <w:lvl w:ilvl="8" w:tplc="10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2">
    <w:nsid w:val="3C79258F"/>
    <w:multiLevelType w:val="hybridMultilevel"/>
    <w:tmpl w:val="07721A56"/>
    <w:lvl w:ilvl="0" w:tplc="8832816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97" w:hanging="360"/>
      </w:pPr>
    </w:lvl>
    <w:lvl w:ilvl="2" w:tplc="100A001B" w:tentative="1">
      <w:start w:val="1"/>
      <w:numFmt w:val="lowerRoman"/>
      <w:lvlText w:val="%3."/>
      <w:lvlJc w:val="right"/>
      <w:pPr>
        <w:ind w:left="2117" w:hanging="180"/>
      </w:pPr>
    </w:lvl>
    <w:lvl w:ilvl="3" w:tplc="100A000F" w:tentative="1">
      <w:start w:val="1"/>
      <w:numFmt w:val="decimal"/>
      <w:lvlText w:val="%4."/>
      <w:lvlJc w:val="left"/>
      <w:pPr>
        <w:ind w:left="2837" w:hanging="360"/>
      </w:pPr>
    </w:lvl>
    <w:lvl w:ilvl="4" w:tplc="100A0019" w:tentative="1">
      <w:start w:val="1"/>
      <w:numFmt w:val="lowerLetter"/>
      <w:lvlText w:val="%5."/>
      <w:lvlJc w:val="left"/>
      <w:pPr>
        <w:ind w:left="3557" w:hanging="360"/>
      </w:pPr>
    </w:lvl>
    <w:lvl w:ilvl="5" w:tplc="100A001B" w:tentative="1">
      <w:start w:val="1"/>
      <w:numFmt w:val="lowerRoman"/>
      <w:lvlText w:val="%6."/>
      <w:lvlJc w:val="right"/>
      <w:pPr>
        <w:ind w:left="4277" w:hanging="180"/>
      </w:pPr>
    </w:lvl>
    <w:lvl w:ilvl="6" w:tplc="100A000F" w:tentative="1">
      <w:start w:val="1"/>
      <w:numFmt w:val="decimal"/>
      <w:lvlText w:val="%7."/>
      <w:lvlJc w:val="left"/>
      <w:pPr>
        <w:ind w:left="4997" w:hanging="360"/>
      </w:pPr>
    </w:lvl>
    <w:lvl w:ilvl="7" w:tplc="100A0019" w:tentative="1">
      <w:start w:val="1"/>
      <w:numFmt w:val="lowerLetter"/>
      <w:lvlText w:val="%8."/>
      <w:lvlJc w:val="left"/>
      <w:pPr>
        <w:ind w:left="5717" w:hanging="360"/>
      </w:pPr>
    </w:lvl>
    <w:lvl w:ilvl="8" w:tplc="10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422A7A82"/>
    <w:multiLevelType w:val="hybridMultilevel"/>
    <w:tmpl w:val="EBCC7984"/>
    <w:lvl w:ilvl="0" w:tplc="65F0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B85975"/>
    <w:multiLevelType w:val="hybridMultilevel"/>
    <w:tmpl w:val="981E3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D00D4"/>
    <w:multiLevelType w:val="hybridMultilevel"/>
    <w:tmpl w:val="9ED866F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B7EB2"/>
    <w:multiLevelType w:val="hybridMultilevel"/>
    <w:tmpl w:val="827C3C5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45D01"/>
    <w:multiLevelType w:val="hybridMultilevel"/>
    <w:tmpl w:val="D452F40E"/>
    <w:lvl w:ilvl="0" w:tplc="88EEBBFA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4F3B5442"/>
    <w:multiLevelType w:val="hybridMultilevel"/>
    <w:tmpl w:val="7314427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F2762"/>
    <w:multiLevelType w:val="hybridMultilevel"/>
    <w:tmpl w:val="A53A11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B0128"/>
    <w:multiLevelType w:val="hybridMultilevel"/>
    <w:tmpl w:val="5D249956"/>
    <w:lvl w:ilvl="0" w:tplc="65F0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20209A"/>
    <w:multiLevelType w:val="hybridMultilevel"/>
    <w:tmpl w:val="4D7AB1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F16D23"/>
    <w:multiLevelType w:val="hybridMultilevel"/>
    <w:tmpl w:val="D728C544"/>
    <w:lvl w:ilvl="0" w:tplc="65F0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CF0459"/>
    <w:multiLevelType w:val="hybridMultilevel"/>
    <w:tmpl w:val="0E0AE4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70DD4"/>
    <w:multiLevelType w:val="hybridMultilevel"/>
    <w:tmpl w:val="9D400FB8"/>
    <w:lvl w:ilvl="0" w:tplc="4D1484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F7BE0"/>
    <w:multiLevelType w:val="hybridMultilevel"/>
    <w:tmpl w:val="C65084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41FE9"/>
    <w:multiLevelType w:val="hybridMultilevel"/>
    <w:tmpl w:val="DDC0B9C6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416FD"/>
    <w:multiLevelType w:val="hybridMultilevel"/>
    <w:tmpl w:val="C456A1A0"/>
    <w:lvl w:ilvl="0" w:tplc="100A000B">
      <w:start w:val="1"/>
      <w:numFmt w:val="bullet"/>
      <w:lvlText w:val=""/>
      <w:lvlJc w:val="left"/>
      <w:pPr>
        <w:ind w:left="123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8">
    <w:nsid w:val="7DD52089"/>
    <w:multiLevelType w:val="hybridMultilevel"/>
    <w:tmpl w:val="A0B6D7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0"/>
  </w:num>
  <w:num w:numId="5">
    <w:abstractNumId w:val="4"/>
  </w:num>
  <w:num w:numId="6">
    <w:abstractNumId w:val="19"/>
  </w:num>
  <w:num w:numId="7">
    <w:abstractNumId w:val="8"/>
  </w:num>
  <w:num w:numId="8">
    <w:abstractNumId w:val="25"/>
  </w:num>
  <w:num w:numId="9">
    <w:abstractNumId w:val="23"/>
  </w:num>
  <w:num w:numId="10">
    <w:abstractNumId w:val="13"/>
  </w:num>
  <w:num w:numId="11">
    <w:abstractNumId w:val="2"/>
  </w:num>
  <w:num w:numId="12">
    <w:abstractNumId w:val="3"/>
  </w:num>
  <w:num w:numId="13">
    <w:abstractNumId w:val="28"/>
  </w:num>
  <w:num w:numId="14">
    <w:abstractNumId w:val="21"/>
  </w:num>
  <w:num w:numId="15">
    <w:abstractNumId w:val="16"/>
  </w:num>
  <w:num w:numId="16">
    <w:abstractNumId w:val="12"/>
  </w:num>
  <w:num w:numId="17">
    <w:abstractNumId w:val="14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7"/>
  </w:num>
  <w:num w:numId="23">
    <w:abstractNumId w:val="20"/>
  </w:num>
  <w:num w:numId="24">
    <w:abstractNumId w:val="18"/>
  </w:num>
  <w:num w:numId="25">
    <w:abstractNumId w:val="11"/>
  </w:num>
  <w:num w:numId="26">
    <w:abstractNumId w:val="5"/>
  </w:num>
  <w:num w:numId="27">
    <w:abstractNumId w:val="6"/>
  </w:num>
  <w:num w:numId="28">
    <w:abstractNumId w:val="2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22"/>
    <w:rsid w:val="00020CEC"/>
    <w:rsid w:val="000358FA"/>
    <w:rsid w:val="000816AC"/>
    <w:rsid w:val="0009286C"/>
    <w:rsid w:val="000B58D8"/>
    <w:rsid w:val="000C2DA3"/>
    <w:rsid w:val="000D7A6D"/>
    <w:rsid w:val="00101599"/>
    <w:rsid w:val="0010426F"/>
    <w:rsid w:val="00134012"/>
    <w:rsid w:val="001577CA"/>
    <w:rsid w:val="00166170"/>
    <w:rsid w:val="0017569C"/>
    <w:rsid w:val="001A1F9C"/>
    <w:rsid w:val="001A77B2"/>
    <w:rsid w:val="001D344D"/>
    <w:rsid w:val="001F2FCD"/>
    <w:rsid w:val="00220B03"/>
    <w:rsid w:val="00251E81"/>
    <w:rsid w:val="00270EF9"/>
    <w:rsid w:val="00291C9E"/>
    <w:rsid w:val="00292C1C"/>
    <w:rsid w:val="002A07DC"/>
    <w:rsid w:val="002E6DEE"/>
    <w:rsid w:val="00332B26"/>
    <w:rsid w:val="003D28D9"/>
    <w:rsid w:val="003D6309"/>
    <w:rsid w:val="003F4A19"/>
    <w:rsid w:val="00420AB6"/>
    <w:rsid w:val="00430332"/>
    <w:rsid w:val="0045110F"/>
    <w:rsid w:val="004542B3"/>
    <w:rsid w:val="00455A7D"/>
    <w:rsid w:val="00484478"/>
    <w:rsid w:val="00493FAC"/>
    <w:rsid w:val="004D23BC"/>
    <w:rsid w:val="004D58A6"/>
    <w:rsid w:val="004D70B7"/>
    <w:rsid w:val="00532CF1"/>
    <w:rsid w:val="00536905"/>
    <w:rsid w:val="00556136"/>
    <w:rsid w:val="0055688C"/>
    <w:rsid w:val="005A0150"/>
    <w:rsid w:val="005A2E84"/>
    <w:rsid w:val="005D026B"/>
    <w:rsid w:val="005D281F"/>
    <w:rsid w:val="005D403E"/>
    <w:rsid w:val="005F7C60"/>
    <w:rsid w:val="006017BB"/>
    <w:rsid w:val="00613E74"/>
    <w:rsid w:val="00622D94"/>
    <w:rsid w:val="0063590C"/>
    <w:rsid w:val="00661F10"/>
    <w:rsid w:val="006717E4"/>
    <w:rsid w:val="00671B65"/>
    <w:rsid w:val="00672002"/>
    <w:rsid w:val="00684FF7"/>
    <w:rsid w:val="00697E9A"/>
    <w:rsid w:val="006F22E1"/>
    <w:rsid w:val="006F6021"/>
    <w:rsid w:val="00704BCB"/>
    <w:rsid w:val="00707168"/>
    <w:rsid w:val="007206F7"/>
    <w:rsid w:val="00743E50"/>
    <w:rsid w:val="00750C8A"/>
    <w:rsid w:val="00757502"/>
    <w:rsid w:val="007623C5"/>
    <w:rsid w:val="00783391"/>
    <w:rsid w:val="007B0A14"/>
    <w:rsid w:val="007B5FA6"/>
    <w:rsid w:val="007E0DB9"/>
    <w:rsid w:val="007E25A0"/>
    <w:rsid w:val="008227E2"/>
    <w:rsid w:val="00825597"/>
    <w:rsid w:val="00825DF0"/>
    <w:rsid w:val="008879C1"/>
    <w:rsid w:val="008A2DE1"/>
    <w:rsid w:val="008B364B"/>
    <w:rsid w:val="008C506C"/>
    <w:rsid w:val="008D6C5C"/>
    <w:rsid w:val="008E255F"/>
    <w:rsid w:val="008E49A8"/>
    <w:rsid w:val="0091037F"/>
    <w:rsid w:val="00961A22"/>
    <w:rsid w:val="009679B6"/>
    <w:rsid w:val="00981389"/>
    <w:rsid w:val="00984859"/>
    <w:rsid w:val="00985078"/>
    <w:rsid w:val="009864B7"/>
    <w:rsid w:val="009E25A7"/>
    <w:rsid w:val="00A06494"/>
    <w:rsid w:val="00A113C0"/>
    <w:rsid w:val="00A20F07"/>
    <w:rsid w:val="00A319A1"/>
    <w:rsid w:val="00A33178"/>
    <w:rsid w:val="00A941FC"/>
    <w:rsid w:val="00AA12C6"/>
    <w:rsid w:val="00AC5B8E"/>
    <w:rsid w:val="00AD0341"/>
    <w:rsid w:val="00AD1B24"/>
    <w:rsid w:val="00AE1C23"/>
    <w:rsid w:val="00AE61D8"/>
    <w:rsid w:val="00AE7784"/>
    <w:rsid w:val="00B00046"/>
    <w:rsid w:val="00B1186D"/>
    <w:rsid w:val="00B505C9"/>
    <w:rsid w:val="00B51677"/>
    <w:rsid w:val="00B61553"/>
    <w:rsid w:val="00B649EC"/>
    <w:rsid w:val="00B66B64"/>
    <w:rsid w:val="00BA1FFC"/>
    <w:rsid w:val="00BA5632"/>
    <w:rsid w:val="00BA6F80"/>
    <w:rsid w:val="00BB45D3"/>
    <w:rsid w:val="00BB6B1B"/>
    <w:rsid w:val="00BC6AB0"/>
    <w:rsid w:val="00BC78C6"/>
    <w:rsid w:val="00BD2961"/>
    <w:rsid w:val="00BD4F9F"/>
    <w:rsid w:val="00BE721D"/>
    <w:rsid w:val="00C05890"/>
    <w:rsid w:val="00C220BE"/>
    <w:rsid w:val="00C24022"/>
    <w:rsid w:val="00C843A1"/>
    <w:rsid w:val="00CA355E"/>
    <w:rsid w:val="00CB3A82"/>
    <w:rsid w:val="00CB4410"/>
    <w:rsid w:val="00CC6E6A"/>
    <w:rsid w:val="00CE3753"/>
    <w:rsid w:val="00CF6A30"/>
    <w:rsid w:val="00D33933"/>
    <w:rsid w:val="00D3539E"/>
    <w:rsid w:val="00D446D3"/>
    <w:rsid w:val="00D44A77"/>
    <w:rsid w:val="00D4569F"/>
    <w:rsid w:val="00D50BC2"/>
    <w:rsid w:val="00D6070E"/>
    <w:rsid w:val="00DA759E"/>
    <w:rsid w:val="00DB1BB6"/>
    <w:rsid w:val="00DD3B61"/>
    <w:rsid w:val="00DD642C"/>
    <w:rsid w:val="00E04534"/>
    <w:rsid w:val="00E63029"/>
    <w:rsid w:val="00E737B4"/>
    <w:rsid w:val="00E828E0"/>
    <w:rsid w:val="00E87D7A"/>
    <w:rsid w:val="00EB42C8"/>
    <w:rsid w:val="00EB482D"/>
    <w:rsid w:val="00EC7CFE"/>
    <w:rsid w:val="00EE6720"/>
    <w:rsid w:val="00EE6898"/>
    <w:rsid w:val="00EF48E3"/>
    <w:rsid w:val="00F023A4"/>
    <w:rsid w:val="00F06941"/>
    <w:rsid w:val="00F10ECA"/>
    <w:rsid w:val="00F2128B"/>
    <w:rsid w:val="00F25999"/>
    <w:rsid w:val="00F349B5"/>
    <w:rsid w:val="00F451D1"/>
    <w:rsid w:val="00FA450F"/>
    <w:rsid w:val="00FB5D51"/>
    <w:rsid w:val="00FB74B9"/>
    <w:rsid w:val="00FC5688"/>
    <w:rsid w:val="00FE0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A2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D70B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23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7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7CA"/>
  </w:style>
  <w:style w:type="paragraph" w:styleId="Piedepgina">
    <w:name w:val="footer"/>
    <w:basedOn w:val="Normal"/>
    <w:link w:val="PiedepginaCar"/>
    <w:uiPriority w:val="99"/>
    <w:unhideWhenUsed/>
    <w:rsid w:val="00157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7CA"/>
  </w:style>
  <w:style w:type="paragraph" w:styleId="Ttulo">
    <w:name w:val="Title"/>
    <w:basedOn w:val="Normal"/>
    <w:link w:val="TtuloCar"/>
    <w:qFormat/>
    <w:rsid w:val="0010159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0159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Sombreadoclaro">
    <w:name w:val="Light Shading"/>
    <w:basedOn w:val="Tablaconefectos3D1"/>
    <w:uiPriority w:val="60"/>
    <w:rsid w:val="005A2E84"/>
    <w:pPr>
      <w:spacing w:after="0" w:line="240" w:lineRule="auto"/>
    </w:pPr>
    <w:rPr>
      <w:color w:val="000000" w:themeColor="text1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spacing w:before="0" w:after="0" w:line="240" w:lineRule="auto"/>
      </w:pPr>
      <w:rPr>
        <w:b/>
        <w:bCs/>
        <w:color w:val="80008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5A2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3D28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28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28D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C5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A2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D70B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23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7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7CA"/>
  </w:style>
  <w:style w:type="paragraph" w:styleId="Piedepgina">
    <w:name w:val="footer"/>
    <w:basedOn w:val="Normal"/>
    <w:link w:val="PiedepginaCar"/>
    <w:uiPriority w:val="99"/>
    <w:unhideWhenUsed/>
    <w:rsid w:val="00157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7CA"/>
  </w:style>
  <w:style w:type="paragraph" w:styleId="Ttulo">
    <w:name w:val="Title"/>
    <w:basedOn w:val="Normal"/>
    <w:link w:val="TtuloCar"/>
    <w:qFormat/>
    <w:rsid w:val="0010159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01599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Sombreadoclaro">
    <w:name w:val="Light Shading"/>
    <w:basedOn w:val="Tablaconefectos3D1"/>
    <w:uiPriority w:val="60"/>
    <w:rsid w:val="005A2E84"/>
    <w:pPr>
      <w:spacing w:after="0" w:line="240" w:lineRule="auto"/>
    </w:pPr>
    <w:rPr>
      <w:color w:val="000000" w:themeColor="text1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pPr>
        <w:spacing w:before="0" w:after="0" w:line="240" w:lineRule="auto"/>
      </w:pPr>
      <w:rPr>
        <w:b/>
        <w:bCs/>
        <w:color w:val="80008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5A2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3D28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28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28D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C5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http://www.Jur&#237;dicas.unam.mx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E4E0-204E-417F-96FB-43C376EF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1765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POSTGRADO</dc:creator>
  <cp:lastModifiedBy>hp</cp:lastModifiedBy>
  <cp:revision>3</cp:revision>
  <cp:lastPrinted>2022-02-16T18:01:00Z</cp:lastPrinted>
  <dcterms:created xsi:type="dcterms:W3CDTF">2022-02-16T17:50:00Z</dcterms:created>
  <dcterms:modified xsi:type="dcterms:W3CDTF">2022-02-16T18:04:00Z</dcterms:modified>
</cp:coreProperties>
</file>